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附件：</w:t>
      </w:r>
    </w:p>
    <w:tbl>
      <w:tblPr>
        <w:tblStyle w:val="4"/>
        <w:tblW w:w="9360" w:type="dxa"/>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4"/>
        <w:gridCol w:w="1200"/>
        <w:gridCol w:w="1284"/>
        <w:gridCol w:w="151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vAlign w:val="top"/>
          </w:tcPr>
          <w:p>
            <w:pPr>
              <w:jc w:val="center"/>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名称</w:t>
            </w:r>
          </w:p>
        </w:tc>
        <w:tc>
          <w:tcPr>
            <w:tcW w:w="1200" w:type="dxa"/>
            <w:vAlign w:val="top"/>
          </w:tcPr>
          <w:p>
            <w:pPr>
              <w:jc w:val="center"/>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流水号</w:t>
            </w:r>
          </w:p>
        </w:tc>
        <w:tc>
          <w:tcPr>
            <w:tcW w:w="1284" w:type="dxa"/>
            <w:vAlign w:val="top"/>
          </w:tcPr>
          <w:p>
            <w:pPr>
              <w:jc w:val="center"/>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规格</w:t>
            </w:r>
          </w:p>
        </w:tc>
        <w:tc>
          <w:tcPr>
            <w:tcW w:w="1512" w:type="dxa"/>
            <w:vAlign w:val="top"/>
          </w:tcPr>
          <w:p>
            <w:pPr>
              <w:jc w:val="center"/>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单价</w:t>
            </w:r>
          </w:p>
        </w:tc>
        <w:tc>
          <w:tcPr>
            <w:tcW w:w="1800" w:type="dxa"/>
            <w:vAlign w:val="top"/>
          </w:tcPr>
          <w:p>
            <w:pPr>
              <w:jc w:val="center"/>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vAlign w:val="top"/>
          </w:tcPr>
          <w:p>
            <w:pPr>
              <w:spacing w:line="240" w:lineRule="auto"/>
              <w:jc w:val="both"/>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心梗三合一检测试剂盒；NT-PROBNP快速诊断检测试剂盒</w:t>
            </w:r>
          </w:p>
        </w:tc>
        <w:tc>
          <w:tcPr>
            <w:tcW w:w="1200" w:type="dxa"/>
            <w:vAlign w:val="top"/>
          </w:tcPr>
          <w:p>
            <w:pPr>
              <w:jc w:val="both"/>
              <w:rPr>
                <w:rFonts w:hint="eastAsia" w:ascii="仿宋" w:hAnsi="仿宋" w:eastAsia="仿宋" w:cs="仿宋"/>
                <w:b/>
                <w:bCs/>
                <w:color w:val="auto"/>
                <w:sz w:val="32"/>
                <w:szCs w:val="32"/>
                <w:vertAlign w:val="baseline"/>
                <w:lang w:val="en-US" w:eastAsia="zh-CN"/>
              </w:rPr>
            </w:pPr>
          </w:p>
        </w:tc>
        <w:tc>
          <w:tcPr>
            <w:tcW w:w="1284" w:type="dxa"/>
            <w:vAlign w:val="top"/>
          </w:tcPr>
          <w:p>
            <w:pPr>
              <w:jc w:val="both"/>
              <w:rPr>
                <w:rFonts w:hint="eastAsia" w:ascii="仿宋" w:hAnsi="仿宋" w:eastAsia="仿宋" w:cs="仿宋"/>
                <w:b/>
                <w:bCs/>
                <w:color w:val="auto"/>
                <w:sz w:val="32"/>
                <w:szCs w:val="32"/>
                <w:vertAlign w:val="baseline"/>
                <w:lang w:val="en-US" w:eastAsia="zh-CN"/>
              </w:rPr>
            </w:pPr>
          </w:p>
        </w:tc>
        <w:tc>
          <w:tcPr>
            <w:tcW w:w="1512" w:type="dxa"/>
            <w:vAlign w:val="top"/>
          </w:tcPr>
          <w:p>
            <w:pPr>
              <w:jc w:val="both"/>
              <w:rPr>
                <w:rFonts w:hint="eastAsia" w:ascii="仿宋" w:hAnsi="仿宋" w:eastAsia="仿宋" w:cs="仿宋"/>
                <w:b/>
                <w:bCs/>
                <w:color w:val="auto"/>
                <w:sz w:val="32"/>
                <w:szCs w:val="32"/>
                <w:vertAlign w:val="baseline"/>
                <w:lang w:val="en-US" w:eastAsia="zh-CN"/>
              </w:rPr>
            </w:pPr>
          </w:p>
        </w:tc>
        <w:tc>
          <w:tcPr>
            <w:tcW w:w="1800" w:type="dxa"/>
            <w:vAlign w:val="top"/>
          </w:tcPr>
          <w:p>
            <w:pPr>
              <w:jc w:val="both"/>
              <w:rPr>
                <w:rFonts w:hint="eastAsia" w:ascii="仿宋" w:hAnsi="仿宋" w:eastAsia="仿宋" w:cs="仿宋"/>
                <w:b/>
                <w:bCs/>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vAlign w:val="top"/>
          </w:tcPr>
          <w:p>
            <w:pPr>
              <w:spacing w:line="240" w:lineRule="auto"/>
              <w:jc w:val="both"/>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人乳头瘤病毒基因分裂检测试剂盒（PCR-反向点杂交法）；三联杂交盒（HPV）</w:t>
            </w:r>
          </w:p>
        </w:tc>
        <w:tc>
          <w:tcPr>
            <w:tcW w:w="1200" w:type="dxa"/>
            <w:vAlign w:val="top"/>
          </w:tcPr>
          <w:p>
            <w:pPr>
              <w:jc w:val="both"/>
              <w:rPr>
                <w:rFonts w:hint="eastAsia" w:ascii="仿宋" w:hAnsi="仿宋" w:eastAsia="仿宋" w:cs="仿宋"/>
                <w:b/>
                <w:bCs/>
                <w:color w:val="auto"/>
                <w:sz w:val="32"/>
                <w:szCs w:val="32"/>
                <w:vertAlign w:val="baseline"/>
                <w:lang w:val="en-US" w:eastAsia="zh-CN"/>
              </w:rPr>
            </w:pPr>
          </w:p>
        </w:tc>
        <w:tc>
          <w:tcPr>
            <w:tcW w:w="1284" w:type="dxa"/>
            <w:vAlign w:val="top"/>
          </w:tcPr>
          <w:p>
            <w:pPr>
              <w:jc w:val="both"/>
              <w:rPr>
                <w:rFonts w:hint="eastAsia" w:ascii="仿宋" w:hAnsi="仿宋" w:eastAsia="仿宋" w:cs="仿宋"/>
                <w:b/>
                <w:bCs/>
                <w:color w:val="auto"/>
                <w:sz w:val="32"/>
                <w:szCs w:val="32"/>
                <w:vertAlign w:val="baseline"/>
                <w:lang w:val="en-US" w:eastAsia="zh-CN"/>
              </w:rPr>
            </w:pPr>
          </w:p>
        </w:tc>
        <w:tc>
          <w:tcPr>
            <w:tcW w:w="1512" w:type="dxa"/>
            <w:vAlign w:val="top"/>
          </w:tcPr>
          <w:p>
            <w:pPr>
              <w:jc w:val="both"/>
              <w:rPr>
                <w:rFonts w:hint="eastAsia" w:ascii="仿宋" w:hAnsi="仿宋" w:eastAsia="仿宋" w:cs="仿宋"/>
                <w:b/>
                <w:bCs/>
                <w:color w:val="auto"/>
                <w:sz w:val="32"/>
                <w:szCs w:val="32"/>
                <w:vertAlign w:val="baseline"/>
                <w:lang w:val="en-US" w:eastAsia="zh-CN"/>
              </w:rPr>
            </w:pPr>
          </w:p>
        </w:tc>
        <w:tc>
          <w:tcPr>
            <w:tcW w:w="1800" w:type="dxa"/>
            <w:vAlign w:val="top"/>
          </w:tcPr>
          <w:p>
            <w:pPr>
              <w:jc w:val="both"/>
              <w:rPr>
                <w:rFonts w:hint="eastAsia" w:ascii="仿宋" w:hAnsi="仿宋" w:eastAsia="仿宋" w:cs="仿宋"/>
                <w:b/>
                <w:bCs/>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vAlign w:val="top"/>
          </w:tcPr>
          <w:p>
            <w:pPr>
              <w:spacing w:line="240" w:lineRule="auto"/>
              <w:jc w:val="both"/>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液基薄层细胞检测（TCT）</w:t>
            </w:r>
          </w:p>
        </w:tc>
        <w:tc>
          <w:tcPr>
            <w:tcW w:w="1200" w:type="dxa"/>
            <w:vAlign w:val="top"/>
          </w:tcPr>
          <w:p>
            <w:pPr>
              <w:jc w:val="both"/>
              <w:rPr>
                <w:rFonts w:hint="eastAsia" w:ascii="仿宋" w:hAnsi="仿宋" w:eastAsia="仿宋" w:cs="仿宋"/>
                <w:b/>
                <w:bCs/>
                <w:color w:val="auto"/>
                <w:sz w:val="32"/>
                <w:szCs w:val="32"/>
                <w:vertAlign w:val="baseline"/>
                <w:lang w:val="en-US" w:eastAsia="zh-CN"/>
              </w:rPr>
            </w:pPr>
          </w:p>
        </w:tc>
        <w:tc>
          <w:tcPr>
            <w:tcW w:w="1284" w:type="dxa"/>
            <w:vAlign w:val="top"/>
          </w:tcPr>
          <w:p>
            <w:pPr>
              <w:jc w:val="both"/>
              <w:rPr>
                <w:rFonts w:hint="eastAsia" w:ascii="仿宋" w:hAnsi="仿宋" w:eastAsia="仿宋" w:cs="仿宋"/>
                <w:b/>
                <w:bCs/>
                <w:color w:val="auto"/>
                <w:sz w:val="32"/>
                <w:szCs w:val="32"/>
                <w:vertAlign w:val="baseline"/>
                <w:lang w:val="en-US" w:eastAsia="zh-CN"/>
              </w:rPr>
            </w:pPr>
          </w:p>
        </w:tc>
        <w:tc>
          <w:tcPr>
            <w:tcW w:w="1512" w:type="dxa"/>
            <w:vAlign w:val="top"/>
          </w:tcPr>
          <w:p>
            <w:pPr>
              <w:jc w:val="both"/>
              <w:rPr>
                <w:rFonts w:hint="eastAsia" w:ascii="仿宋" w:hAnsi="仿宋" w:eastAsia="仿宋" w:cs="仿宋"/>
                <w:b/>
                <w:bCs/>
                <w:color w:val="auto"/>
                <w:sz w:val="32"/>
                <w:szCs w:val="32"/>
                <w:vertAlign w:val="baseline"/>
                <w:lang w:val="en-US" w:eastAsia="zh-CN"/>
              </w:rPr>
            </w:pPr>
          </w:p>
        </w:tc>
        <w:tc>
          <w:tcPr>
            <w:tcW w:w="1800" w:type="dxa"/>
            <w:vAlign w:val="top"/>
          </w:tcPr>
          <w:p>
            <w:pPr>
              <w:jc w:val="both"/>
              <w:rPr>
                <w:rFonts w:hint="eastAsia" w:ascii="仿宋" w:hAnsi="仿宋" w:eastAsia="仿宋" w:cs="仿宋"/>
                <w:b/>
                <w:bCs/>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4" w:type="dxa"/>
            <w:vAlign w:val="top"/>
          </w:tcPr>
          <w:p>
            <w:pPr>
              <w:spacing w:line="240" w:lineRule="auto"/>
              <w:jc w:val="both"/>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000000"/>
                <w:kern w:val="0"/>
                <w:sz w:val="32"/>
                <w:szCs w:val="32"/>
              </w:rPr>
              <w:t>化学药物用药指导的基因检测试剂</w:t>
            </w:r>
            <w:r>
              <w:rPr>
                <w:rFonts w:hint="eastAsia" w:ascii="仿宋" w:hAnsi="仿宋" w:eastAsia="仿宋" w:cs="仿宋"/>
                <w:b/>
                <w:bCs/>
                <w:sz w:val="32"/>
                <w:szCs w:val="32"/>
                <w:lang w:eastAsia="zh-CN"/>
              </w:rPr>
              <w:t>（</w:t>
            </w:r>
            <w:r>
              <w:rPr>
                <w:rFonts w:hint="eastAsia" w:ascii="仿宋" w:hAnsi="仿宋" w:eastAsia="仿宋" w:cs="仿宋"/>
                <w:b/>
                <w:bCs/>
                <w:sz w:val="32"/>
                <w:szCs w:val="32"/>
              </w:rPr>
              <w:t>测序反应通用试剂盒</w:t>
            </w:r>
            <w:r>
              <w:rPr>
                <w:rFonts w:hint="eastAsia" w:ascii="仿宋" w:hAnsi="仿宋" w:eastAsia="仿宋" w:cs="仿宋"/>
                <w:b/>
                <w:bCs/>
                <w:sz w:val="32"/>
                <w:szCs w:val="32"/>
                <w:lang w:eastAsia="zh-CN"/>
              </w:rPr>
              <w:t>）</w:t>
            </w:r>
          </w:p>
        </w:tc>
        <w:tc>
          <w:tcPr>
            <w:tcW w:w="1200" w:type="dxa"/>
            <w:vAlign w:val="top"/>
          </w:tcPr>
          <w:p>
            <w:pPr>
              <w:jc w:val="both"/>
              <w:rPr>
                <w:rFonts w:hint="eastAsia" w:ascii="仿宋" w:hAnsi="仿宋" w:eastAsia="仿宋" w:cs="仿宋"/>
                <w:b/>
                <w:bCs/>
                <w:color w:val="auto"/>
                <w:sz w:val="32"/>
                <w:szCs w:val="32"/>
                <w:vertAlign w:val="baseline"/>
                <w:lang w:val="en-US" w:eastAsia="zh-CN"/>
              </w:rPr>
            </w:pPr>
          </w:p>
        </w:tc>
        <w:tc>
          <w:tcPr>
            <w:tcW w:w="1284" w:type="dxa"/>
            <w:vAlign w:val="top"/>
          </w:tcPr>
          <w:p>
            <w:pPr>
              <w:jc w:val="both"/>
              <w:rPr>
                <w:rFonts w:hint="eastAsia" w:ascii="仿宋" w:hAnsi="仿宋" w:eastAsia="仿宋" w:cs="仿宋"/>
                <w:b/>
                <w:bCs/>
                <w:color w:val="auto"/>
                <w:sz w:val="32"/>
                <w:szCs w:val="32"/>
                <w:vertAlign w:val="baseline"/>
                <w:lang w:val="en-US" w:eastAsia="zh-CN"/>
              </w:rPr>
            </w:pPr>
          </w:p>
        </w:tc>
        <w:tc>
          <w:tcPr>
            <w:tcW w:w="1512" w:type="dxa"/>
            <w:vAlign w:val="top"/>
          </w:tcPr>
          <w:p>
            <w:pPr>
              <w:jc w:val="both"/>
              <w:rPr>
                <w:rFonts w:hint="eastAsia" w:ascii="仿宋" w:hAnsi="仿宋" w:eastAsia="仿宋" w:cs="仿宋"/>
                <w:b/>
                <w:bCs/>
                <w:color w:val="auto"/>
                <w:sz w:val="32"/>
                <w:szCs w:val="32"/>
                <w:vertAlign w:val="baseline"/>
                <w:lang w:val="en-US" w:eastAsia="zh-CN"/>
              </w:rPr>
            </w:pPr>
          </w:p>
        </w:tc>
        <w:tc>
          <w:tcPr>
            <w:tcW w:w="1800" w:type="dxa"/>
            <w:vAlign w:val="top"/>
          </w:tcPr>
          <w:p>
            <w:pPr>
              <w:jc w:val="both"/>
              <w:rPr>
                <w:rFonts w:hint="eastAsia" w:ascii="仿宋" w:hAnsi="仿宋" w:eastAsia="仿宋" w:cs="仿宋"/>
                <w:b/>
                <w:bCs/>
                <w:color w:val="auto"/>
                <w:sz w:val="32"/>
                <w:szCs w:val="32"/>
                <w:vertAlign w:val="baseline"/>
                <w:lang w:val="en-US" w:eastAsia="zh-CN"/>
              </w:rPr>
            </w:pPr>
          </w:p>
        </w:tc>
      </w:tr>
    </w:tbl>
    <w:p>
      <w:pPr>
        <w:jc w:val="both"/>
        <w:rPr>
          <w:rFonts w:hint="eastAsia" w:ascii="仿宋" w:hAnsi="仿宋" w:eastAsia="仿宋" w:cs="仿宋"/>
          <w:b/>
          <w:bCs/>
          <w:color w:val="auto"/>
          <w:sz w:val="32"/>
          <w:szCs w:val="32"/>
          <w:lang w:val="en-US" w:eastAsia="zh-CN"/>
        </w:rPr>
      </w:pPr>
    </w:p>
    <w:p>
      <w:pPr>
        <w:spacing w:line="220" w:lineRule="atLeast"/>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备注：以下是使用科室提供的相关参数</w:t>
      </w:r>
    </w:p>
    <w:p>
      <w:pPr>
        <w:numPr>
          <w:ilvl w:val="0"/>
          <w:numId w:val="0"/>
        </w:numPr>
        <w:spacing w:line="220" w:lineRule="atLeast"/>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lang w:val="en-US" w:eastAsia="zh-CN"/>
        </w:rPr>
        <w:t>1、1）心梗三项、BNP</w:t>
      </w:r>
      <w:r>
        <w:rPr>
          <w:rFonts w:hint="eastAsia" w:ascii="仿宋" w:hAnsi="仿宋" w:eastAsia="仿宋" w:cs="仿宋"/>
          <w:b/>
          <w:bCs/>
          <w:color w:val="auto"/>
          <w:sz w:val="32"/>
          <w:szCs w:val="32"/>
          <w:vertAlign w:val="baseline"/>
          <w:lang w:val="en-US" w:eastAsia="zh-CN"/>
        </w:rPr>
        <w:t>快速诊断检测试剂盒：床边检测，方便、快捷、准确。</w:t>
      </w:r>
    </w:p>
    <w:p>
      <w:pPr>
        <w:numPr>
          <w:ilvl w:val="0"/>
          <w:numId w:val="0"/>
        </w:numPr>
        <w:spacing w:line="220" w:lineRule="atLeast"/>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1、2）</w:t>
      </w:r>
      <w:r>
        <w:rPr>
          <w:rFonts w:hint="eastAsia" w:ascii="仿宋" w:hAnsi="仿宋" w:eastAsia="仿宋" w:cs="仿宋"/>
          <w:b/>
          <w:bCs/>
          <w:sz w:val="32"/>
          <w:szCs w:val="32"/>
        </w:rPr>
        <w:t>人乳头瘤病毒基因检测试剂</w:t>
      </w:r>
      <w:r>
        <w:rPr>
          <w:rFonts w:hint="eastAsia" w:ascii="仿宋" w:hAnsi="仿宋" w:eastAsia="仿宋" w:cs="仿宋"/>
          <w:b/>
          <w:bCs/>
          <w:sz w:val="32"/>
          <w:szCs w:val="32"/>
          <w:lang w:eastAsia="zh-CN"/>
        </w:rPr>
        <w:t>：</w:t>
      </w:r>
    </w:p>
    <w:p>
      <w:pPr>
        <w:spacing w:line="220" w:lineRule="atLeast"/>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HPV试剂所采用的技术平台及其产品必须包含世界卫生组织明确确认的17种高危基因型，包括：   HPV16、18、31、33、35、39、45、51、52、53，56、58、59、66、68、73、82，并具体分型；</w:t>
      </w:r>
    </w:p>
    <w:p>
      <w:pPr>
        <w:spacing w:line="220" w:lineRule="atLeast"/>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可检测不同来源的标本：宫颈脱落细胞、液基细胞学标本、石蜡组织切片等；</w:t>
      </w:r>
    </w:p>
    <w:p>
      <w:pPr>
        <w:spacing w:line="220" w:lineRule="atLeast"/>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试剂采用单管单人份规格，无需二次分装。</w:t>
      </w:r>
    </w:p>
    <w:p>
      <w:pPr>
        <w:spacing w:line="220" w:lineRule="atLeast"/>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4</w:t>
      </w:r>
      <w:r>
        <w:rPr>
          <w:rFonts w:hint="eastAsia" w:ascii="仿宋" w:hAnsi="仿宋" w:eastAsia="仿宋" w:cs="仿宋"/>
          <w:b/>
          <w:bCs/>
          <w:sz w:val="32"/>
          <w:szCs w:val="32"/>
          <w:lang w:eastAsia="zh-CN"/>
        </w:rPr>
        <w:t>）</w:t>
      </w:r>
      <w:r>
        <w:rPr>
          <w:rFonts w:hint="eastAsia" w:ascii="仿宋" w:hAnsi="仿宋" w:eastAsia="仿宋" w:cs="仿宋"/>
          <w:b/>
          <w:bCs/>
          <w:sz w:val="32"/>
          <w:szCs w:val="32"/>
        </w:rPr>
        <w:t xml:space="preserve">为确保检测的灵敏度、特异性，HPV检测产品特异性、准确性、重复性均达到98%以上； </w:t>
      </w:r>
    </w:p>
    <w:p>
      <w:pPr>
        <w:spacing w:line="220" w:lineRule="atLeast"/>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5</w:t>
      </w:r>
      <w:r>
        <w:rPr>
          <w:rFonts w:hint="eastAsia" w:ascii="仿宋" w:hAnsi="仿宋" w:eastAsia="仿宋" w:cs="仿宋"/>
          <w:b/>
          <w:bCs/>
          <w:sz w:val="32"/>
          <w:szCs w:val="32"/>
          <w:lang w:eastAsia="zh-CN"/>
        </w:rPr>
        <w:t>）</w:t>
      </w:r>
      <w:r>
        <w:rPr>
          <w:rFonts w:hint="eastAsia" w:ascii="仿宋" w:hAnsi="仿宋" w:eastAsia="仿宋" w:cs="仿宋"/>
          <w:b/>
          <w:bCs/>
          <w:sz w:val="32"/>
          <w:szCs w:val="32"/>
        </w:rPr>
        <w:t>灵敏度：检出HPV-DNA最小拷贝数1.0×10^4copies/ml；</w:t>
      </w:r>
    </w:p>
    <w:p>
      <w:pPr>
        <w:spacing w:line="220" w:lineRule="atLeast"/>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6</w:t>
      </w:r>
      <w:r>
        <w:rPr>
          <w:rFonts w:hint="eastAsia" w:ascii="仿宋" w:hAnsi="仿宋" w:eastAsia="仿宋" w:cs="仿宋"/>
          <w:b/>
          <w:bCs/>
          <w:sz w:val="32"/>
          <w:szCs w:val="32"/>
          <w:lang w:eastAsia="zh-CN"/>
        </w:rPr>
        <w:t>）</w:t>
      </w:r>
      <w:r>
        <w:rPr>
          <w:rFonts w:hint="eastAsia" w:ascii="仿宋" w:hAnsi="仿宋" w:eastAsia="仿宋" w:cs="仿宋"/>
          <w:b/>
          <w:bCs/>
          <w:sz w:val="32"/>
          <w:szCs w:val="32"/>
        </w:rPr>
        <w:t>内部质控：具有真正意义上的内部控制，检测结果更加准确；</w:t>
      </w:r>
    </w:p>
    <w:p>
      <w:pPr>
        <w:spacing w:line="220" w:lineRule="atLeast"/>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7</w:t>
      </w:r>
      <w:r>
        <w:rPr>
          <w:rFonts w:hint="eastAsia" w:ascii="仿宋" w:hAnsi="仿宋" w:eastAsia="仿宋" w:cs="仿宋"/>
          <w:b/>
          <w:bCs/>
          <w:sz w:val="32"/>
          <w:szCs w:val="32"/>
          <w:lang w:eastAsia="zh-CN"/>
        </w:rPr>
        <w:t>）</w:t>
      </w:r>
      <w:r>
        <w:rPr>
          <w:rFonts w:hint="eastAsia" w:ascii="仿宋" w:hAnsi="仿宋" w:eastAsia="仿宋" w:cs="仿宋"/>
          <w:b/>
          <w:bCs/>
          <w:sz w:val="32"/>
          <w:szCs w:val="32"/>
        </w:rPr>
        <w:t>不精密度：批内不精密度和批间不精密度变异系数（CV）均＜5%；</w:t>
      </w:r>
    </w:p>
    <w:p>
      <w:pPr>
        <w:spacing w:line="220" w:lineRule="atLeast"/>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8</w:t>
      </w:r>
      <w:r>
        <w:rPr>
          <w:rFonts w:hint="eastAsia" w:ascii="仿宋" w:hAnsi="仿宋" w:eastAsia="仿宋" w:cs="仿宋"/>
          <w:b/>
          <w:bCs/>
          <w:sz w:val="32"/>
          <w:szCs w:val="32"/>
          <w:lang w:eastAsia="zh-CN"/>
        </w:rPr>
        <w:t>）</w:t>
      </w:r>
      <w:r>
        <w:rPr>
          <w:rFonts w:hint="eastAsia" w:ascii="仿宋" w:hAnsi="仿宋" w:eastAsia="仿宋" w:cs="仿宋"/>
          <w:b/>
          <w:bCs/>
          <w:sz w:val="32"/>
          <w:szCs w:val="32"/>
        </w:rPr>
        <w:t>采用UNG酶防污染体系；</w:t>
      </w:r>
    </w:p>
    <w:p>
      <w:pPr>
        <w:spacing w:line="220" w:lineRule="atLeas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rPr>
        <w:t>9</w:t>
      </w:r>
      <w:r>
        <w:rPr>
          <w:rFonts w:hint="eastAsia" w:ascii="仿宋" w:hAnsi="仿宋" w:eastAsia="仿宋" w:cs="仿宋"/>
          <w:b/>
          <w:bCs/>
          <w:sz w:val="32"/>
          <w:szCs w:val="32"/>
          <w:lang w:eastAsia="zh-CN"/>
        </w:rPr>
        <w:t>）</w:t>
      </w:r>
      <w:r>
        <w:rPr>
          <w:rFonts w:hint="eastAsia" w:ascii="仿宋" w:hAnsi="仿宋" w:eastAsia="仿宋" w:cs="仿宋"/>
          <w:b/>
          <w:bCs/>
          <w:sz w:val="32"/>
          <w:szCs w:val="32"/>
        </w:rPr>
        <w:t>医院就诊人群 HPV 检测的临床敏感性不低于 90%，数据结果在SCI杂志上公开发表，杂志IF＞1；要求提供HPV分型检测试剂近3年参加国家卫计委室间质评实验室数量超过50家结果“合格”及以上；</w:t>
      </w:r>
    </w:p>
    <w:p>
      <w:pPr>
        <w:spacing w:line="220" w:lineRule="atLeast"/>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10</w:t>
      </w:r>
      <w:r>
        <w:rPr>
          <w:rFonts w:hint="eastAsia" w:ascii="仿宋" w:hAnsi="仿宋" w:eastAsia="仿宋" w:cs="仿宋"/>
          <w:b/>
          <w:bCs/>
          <w:sz w:val="32"/>
          <w:szCs w:val="32"/>
          <w:lang w:eastAsia="zh-CN"/>
        </w:rPr>
        <w:t>）</w:t>
      </w:r>
      <w:r>
        <w:rPr>
          <w:rFonts w:hint="eastAsia" w:ascii="仿宋" w:hAnsi="仿宋" w:eastAsia="仿宋" w:cs="仿宋"/>
          <w:b/>
          <w:bCs/>
          <w:sz w:val="32"/>
          <w:szCs w:val="32"/>
        </w:rPr>
        <w:t>适配现有</w:t>
      </w:r>
      <w:r>
        <w:rPr>
          <w:rFonts w:hint="eastAsia" w:ascii="仿宋" w:hAnsi="仿宋" w:eastAsia="仿宋" w:cs="仿宋"/>
          <w:b/>
          <w:bCs/>
          <w:sz w:val="32"/>
          <w:szCs w:val="32"/>
          <w:lang w:val="en-US" w:eastAsia="zh-CN"/>
        </w:rPr>
        <w:t>YN-H18大</w:t>
      </w:r>
      <w:r>
        <w:rPr>
          <w:rFonts w:hint="eastAsia" w:ascii="仿宋" w:hAnsi="仿宋" w:eastAsia="仿宋" w:cs="仿宋"/>
          <w:b/>
          <w:bCs/>
          <w:sz w:val="32"/>
          <w:szCs w:val="32"/>
        </w:rPr>
        <w:t>通量全自动检测平台，单台检测样本数大于等于96人份/次；</w:t>
      </w:r>
    </w:p>
    <w:p>
      <w:pPr>
        <w:numPr>
          <w:ilvl w:val="0"/>
          <w:numId w:val="0"/>
        </w:numPr>
        <w:spacing w:line="220" w:lineRule="atLeast"/>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11</w:t>
      </w:r>
      <w:r>
        <w:rPr>
          <w:rFonts w:hint="eastAsia" w:ascii="仿宋" w:hAnsi="仿宋" w:eastAsia="仿宋" w:cs="仿宋"/>
          <w:b/>
          <w:bCs/>
          <w:sz w:val="32"/>
          <w:szCs w:val="32"/>
          <w:lang w:eastAsia="zh-CN"/>
        </w:rPr>
        <w:t>）</w:t>
      </w:r>
      <w:r>
        <w:rPr>
          <w:rFonts w:hint="eastAsia" w:ascii="仿宋" w:hAnsi="仿宋" w:eastAsia="仿宋" w:cs="仿宋"/>
          <w:b/>
          <w:bCs/>
          <w:sz w:val="32"/>
          <w:szCs w:val="32"/>
        </w:rPr>
        <w:t>检测结果可同步输出，直接对接LIS系统。</w:t>
      </w:r>
    </w:p>
    <w:p>
      <w:pPr>
        <w:pStyle w:val="5"/>
        <w:spacing w:line="360" w:lineRule="auto"/>
        <w:contextualSpacing/>
        <w:rPr>
          <w:rFonts w:hint="eastAsia" w:ascii="仿宋" w:hAnsi="仿宋" w:eastAsia="仿宋" w:cs="仿宋"/>
          <w:b/>
          <w:spacing w:val="-10"/>
          <w:sz w:val="32"/>
          <w:szCs w:val="32"/>
          <w:lang w:eastAsia="zh-CN"/>
        </w:rPr>
      </w:pPr>
      <w:r>
        <w:rPr>
          <w:rFonts w:hint="eastAsia" w:ascii="仿宋" w:hAnsi="仿宋" w:eastAsia="仿宋" w:cs="仿宋"/>
          <w:b/>
          <w:spacing w:val="-10"/>
          <w:sz w:val="32"/>
          <w:szCs w:val="32"/>
          <w:lang w:val="en-US" w:eastAsia="zh-CN"/>
        </w:rPr>
        <w:t>1、3）</w:t>
      </w:r>
      <w:r>
        <w:rPr>
          <w:rFonts w:hint="eastAsia" w:ascii="仿宋" w:hAnsi="仿宋" w:eastAsia="仿宋" w:cs="仿宋"/>
          <w:b/>
          <w:spacing w:val="-10"/>
          <w:sz w:val="32"/>
          <w:szCs w:val="32"/>
        </w:rPr>
        <w:t>沉降式液基细胞涂片试剂盒</w:t>
      </w:r>
      <w:r>
        <w:rPr>
          <w:rFonts w:hint="eastAsia" w:ascii="仿宋" w:hAnsi="仿宋" w:eastAsia="仿宋" w:cs="仿宋"/>
          <w:b/>
          <w:spacing w:val="-10"/>
          <w:sz w:val="32"/>
          <w:szCs w:val="32"/>
          <w:lang w:eastAsia="zh-CN"/>
        </w:rPr>
        <w:t>：</w:t>
      </w:r>
    </w:p>
    <w:p>
      <w:pPr>
        <w:pStyle w:val="5"/>
        <w:spacing w:line="240" w:lineRule="auto"/>
        <w:ind w:left="113"/>
        <w:contextualSpacing/>
        <w:rPr>
          <w:rFonts w:hint="eastAsia" w:ascii="仿宋" w:hAnsi="仿宋" w:eastAsia="仿宋" w:cs="仿宋"/>
          <w:b/>
          <w:bCs/>
          <w:snapToGrid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napToGrid w:val="0"/>
          <w:sz w:val="32"/>
          <w:szCs w:val="32"/>
        </w:rPr>
        <w:t>1</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产品性能稳定，安徽三甲医院不少于5家；</w:t>
      </w:r>
    </w:p>
    <w:p>
      <w:pPr>
        <w:pStyle w:val="5"/>
        <w:spacing w:before="8" w:line="240" w:lineRule="auto"/>
        <w:ind w:left="113" w:right="92"/>
        <w:contextualSpacing/>
        <w:jc w:val="both"/>
        <w:rPr>
          <w:rFonts w:hint="eastAsia" w:ascii="仿宋" w:hAnsi="仿宋" w:eastAsia="仿宋" w:cs="仿宋"/>
          <w:b/>
          <w:bCs/>
          <w:snapToGrid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napToGrid w:val="0"/>
          <w:sz w:val="32"/>
          <w:szCs w:val="32"/>
        </w:rPr>
        <w:t>2</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适用范围：用于人体脱落细胞的制片和染色。试剂种类:至少提供宫颈脱落细胞系列、痰液和针吸细胞系列、胸腹水和尿液细胞系列三种专业试剂；</w:t>
      </w:r>
    </w:p>
    <w:p>
      <w:pPr>
        <w:pStyle w:val="5"/>
        <w:spacing w:before="8" w:line="240" w:lineRule="auto"/>
        <w:ind w:left="113" w:right="2"/>
        <w:contextualSpacing/>
        <w:rPr>
          <w:rFonts w:hint="eastAsia" w:ascii="仿宋" w:hAnsi="仿宋" w:eastAsia="仿宋" w:cs="仿宋"/>
          <w:b/>
          <w:bCs/>
          <w:snapToGrid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napToGrid w:val="0"/>
          <w:sz w:val="32"/>
          <w:szCs w:val="32"/>
        </w:rPr>
        <w:t>3</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妇科系列耗材组成成分：细胞保存液、提取液、巴氏染色液（苏木素染色剂、EA/OG 染色剂）、缓冲液、一次性取样宫颈刷、粘附载玻片、盖玻片、移液注射器、离心管、制片染色室；</w:t>
      </w:r>
    </w:p>
    <w:p>
      <w:pPr>
        <w:pStyle w:val="5"/>
        <w:spacing w:before="4" w:line="240" w:lineRule="auto"/>
        <w:ind w:left="113"/>
        <w:contextualSpacing/>
        <w:rPr>
          <w:rFonts w:hint="eastAsia" w:ascii="仿宋" w:hAnsi="仿宋" w:eastAsia="仿宋" w:cs="仿宋"/>
          <w:b/>
          <w:bCs/>
          <w:snapToGrid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napToGrid w:val="0"/>
          <w:sz w:val="32"/>
          <w:szCs w:val="32"/>
        </w:rPr>
        <w:t>4</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配套试剂提供含有原厂生产的巴氏染色液；</w:t>
      </w:r>
    </w:p>
    <w:p>
      <w:pPr>
        <w:pStyle w:val="5"/>
        <w:spacing w:before="7" w:line="240" w:lineRule="auto"/>
        <w:ind w:left="113" w:right="7"/>
        <w:contextualSpacing/>
        <w:rPr>
          <w:rFonts w:hint="eastAsia" w:ascii="仿宋" w:hAnsi="仿宋" w:eastAsia="仿宋" w:cs="仿宋"/>
          <w:b/>
          <w:bCs/>
          <w:snapToGrid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napToGrid w:val="0"/>
          <w:sz w:val="32"/>
          <w:szCs w:val="32"/>
        </w:rPr>
        <w:t>5</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制片方式：自然沉降，玻片在静止的状态下，细胞利用重力自然沉降至黏附载玻片；</w:t>
      </w:r>
    </w:p>
    <w:p>
      <w:pPr>
        <w:pStyle w:val="5"/>
        <w:spacing w:before="2" w:line="240" w:lineRule="auto"/>
        <w:ind w:left="113" w:right="13"/>
        <w:contextualSpacing/>
        <w:rPr>
          <w:rFonts w:hint="eastAsia" w:ascii="仿宋" w:hAnsi="仿宋" w:eastAsia="仿宋" w:cs="仿宋"/>
          <w:b/>
          <w:bCs/>
          <w:snapToGrid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napToGrid w:val="0"/>
          <w:sz w:val="32"/>
          <w:szCs w:val="32"/>
        </w:rPr>
        <w:t>6</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制片染色全过程通过液晶触摸屏监控，满足病理质控需要；</w:t>
      </w:r>
    </w:p>
    <w:p>
      <w:pPr>
        <w:pStyle w:val="5"/>
        <w:spacing w:before="8" w:line="240" w:lineRule="auto"/>
        <w:ind w:left="113" w:right="92"/>
        <w:contextualSpacing/>
        <w:rPr>
          <w:rFonts w:hint="eastAsia" w:ascii="仿宋" w:hAnsi="仿宋" w:eastAsia="仿宋" w:cs="仿宋"/>
          <w:b/>
          <w:bCs/>
          <w:snapToGrid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napToGrid w:val="0"/>
          <w:sz w:val="32"/>
          <w:szCs w:val="32"/>
        </w:rPr>
        <w:t>7</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单片独立滴染，染液一次性使用，每批制片染色可处理≥22 人份样本，时间≤35 分钟/批；</w:t>
      </w:r>
    </w:p>
    <w:p>
      <w:pPr>
        <w:pStyle w:val="5"/>
        <w:spacing w:line="240" w:lineRule="auto"/>
        <w:ind w:left="113" w:right="-29"/>
        <w:contextualSpacing/>
        <w:rPr>
          <w:rFonts w:hint="eastAsia" w:ascii="仿宋" w:hAnsi="仿宋" w:eastAsia="仿宋" w:cs="仿宋"/>
          <w:b/>
          <w:bCs/>
          <w:snapToGrid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napToGrid w:val="0"/>
          <w:sz w:val="32"/>
          <w:szCs w:val="32"/>
        </w:rPr>
        <w:t>8</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配备的制片染色机使用一次性吸嘴方式滴加染液，染液不经过管道，避免因管道导致的堵塞现象， 日常维护简便；</w:t>
      </w:r>
    </w:p>
    <w:p>
      <w:pPr>
        <w:pStyle w:val="5"/>
        <w:spacing w:before="6" w:line="240" w:lineRule="auto"/>
        <w:ind w:left="113" w:right="-29"/>
        <w:contextualSpacing/>
        <w:rPr>
          <w:rFonts w:hint="eastAsia" w:ascii="仿宋" w:hAnsi="仿宋" w:eastAsia="仿宋" w:cs="仿宋"/>
          <w:b/>
          <w:bCs/>
          <w:snapToGrid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napToGrid w:val="0"/>
          <w:sz w:val="32"/>
          <w:szCs w:val="32"/>
        </w:rPr>
        <w:t>9</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具备废液和吸嘴状态检测功能，废液到达上限时， 在运行前予以报警提示，防止人为错误；</w:t>
      </w:r>
    </w:p>
    <w:p>
      <w:pPr>
        <w:pStyle w:val="5"/>
        <w:spacing w:before="3" w:line="240" w:lineRule="auto"/>
        <w:ind w:left="113" w:right="120"/>
        <w:contextualSpacing/>
        <w:jc w:val="both"/>
        <w:rPr>
          <w:rFonts w:hint="eastAsia" w:ascii="仿宋" w:hAnsi="仿宋" w:eastAsia="仿宋" w:cs="仿宋"/>
          <w:b/>
          <w:bCs/>
          <w:snapToGrid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napToGrid w:val="0"/>
          <w:sz w:val="32"/>
          <w:szCs w:val="32"/>
        </w:rPr>
        <w:t>10</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制片效果要求：涂片视野清晰，干扰成分少， 细胞形态正常，细胞分布均匀、无重叠。胞浆染色正常、透亮，胞核结构清晰。制成的薄片诊断面积为直径 13mm 的圆。</w:t>
      </w:r>
    </w:p>
    <w:p>
      <w:pPr>
        <w:pStyle w:val="5"/>
        <w:spacing w:before="4" w:line="240" w:lineRule="auto"/>
        <w:ind w:left="113" w:right="106"/>
        <w:contextualSpacing/>
        <w:jc w:val="both"/>
        <w:rPr>
          <w:rFonts w:hint="eastAsia" w:ascii="仿宋" w:hAnsi="仿宋" w:eastAsia="仿宋" w:cs="仿宋"/>
          <w:b/>
          <w:bCs/>
          <w:snapToGrid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napToGrid w:val="0"/>
          <w:sz w:val="32"/>
          <w:szCs w:val="32"/>
        </w:rPr>
        <w:t>11</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通过自动样本处理设备转移样本，妇科标本和痰标本实验全过程无需样本开盖操作，使用密度分离提取液去除液基细胞样本中的血液、黏液等干扰成份；</w:t>
      </w:r>
    </w:p>
    <w:p>
      <w:pPr>
        <w:pStyle w:val="5"/>
        <w:spacing w:before="4" w:line="240" w:lineRule="auto"/>
        <w:ind w:left="113" w:right="124"/>
        <w:contextualSpacing/>
        <w:rPr>
          <w:rFonts w:hint="eastAsia" w:ascii="仿宋" w:hAnsi="仿宋" w:eastAsia="仿宋" w:cs="仿宋"/>
          <w:b/>
          <w:bCs/>
          <w:snapToGrid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napToGrid w:val="0"/>
          <w:sz w:val="32"/>
          <w:szCs w:val="32"/>
        </w:rPr>
        <w:t>12</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自动样本处理设备自动加注分离提取液至离心管，可根据使用需求设定加注量；</w:t>
      </w:r>
    </w:p>
    <w:p>
      <w:pPr>
        <w:pStyle w:val="5"/>
        <w:spacing w:line="240" w:lineRule="auto"/>
        <w:ind w:left="113" w:right="120"/>
        <w:contextualSpacing/>
        <w:jc w:val="both"/>
        <w:rPr>
          <w:rFonts w:hint="eastAsia" w:ascii="仿宋" w:hAnsi="仿宋" w:eastAsia="仿宋" w:cs="仿宋"/>
          <w:b/>
          <w:bCs/>
          <w:snapToGrid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napToGrid w:val="0"/>
          <w:sz w:val="32"/>
          <w:szCs w:val="32"/>
        </w:rPr>
        <w:t>13</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自动样本处理设备实现样本批量处理、转移、离心分离一体化：自动转移样本至离心管，并通过机械手抓取离心管至离心机，全自动完成一次离心的分层、吸弃上清液去除样本杂质、二次离心收集诊断细胞，自动化程度高，完全代替人工操作；</w:t>
      </w:r>
    </w:p>
    <w:p>
      <w:pPr>
        <w:pStyle w:val="5"/>
        <w:spacing w:line="240" w:lineRule="auto"/>
        <w:ind w:left="113"/>
        <w:contextualSpacing/>
        <w:jc w:val="both"/>
        <w:rPr>
          <w:rFonts w:hint="eastAsia" w:ascii="仿宋" w:hAnsi="仿宋" w:eastAsia="仿宋" w:cs="仿宋"/>
          <w:b/>
          <w:bCs/>
          <w:snapToGrid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napToGrid w:val="0"/>
          <w:sz w:val="32"/>
          <w:szCs w:val="32"/>
        </w:rPr>
        <w:t>14</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自动样本处理设备每批次可进行样本前处理≥22 人份；</w:t>
      </w:r>
    </w:p>
    <w:p>
      <w:pPr>
        <w:pStyle w:val="5"/>
        <w:spacing w:before="7" w:line="240" w:lineRule="auto"/>
        <w:ind w:left="113" w:right="92"/>
        <w:contextualSpacing/>
        <w:jc w:val="both"/>
        <w:rPr>
          <w:rFonts w:hint="eastAsia" w:ascii="仿宋" w:hAnsi="仿宋" w:eastAsia="仿宋" w:cs="仿宋"/>
          <w:b/>
          <w:bCs/>
          <w:snapToGrid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napToGrid w:val="0"/>
          <w:sz w:val="32"/>
          <w:szCs w:val="32"/>
        </w:rPr>
        <w:t>15</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自动样本处理设备可单独设置转移、离心模块的参数， 其中离心模块为水平式离心机，标配有12ML 和 50ML 离心吊篮，可完成各种样本的前期处理；</w:t>
      </w:r>
    </w:p>
    <w:p>
      <w:pPr>
        <w:pStyle w:val="5"/>
        <w:spacing w:line="240" w:lineRule="auto"/>
        <w:ind w:left="113"/>
        <w:contextualSpacing/>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napToGrid w:val="0"/>
          <w:sz w:val="32"/>
          <w:szCs w:val="32"/>
        </w:rPr>
        <w:t>16</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根据医院实际需求提供相应的染色机</w:t>
      </w:r>
      <w:r>
        <w:rPr>
          <w:rFonts w:hint="eastAsia" w:ascii="仿宋" w:hAnsi="仿宋" w:eastAsia="仿宋" w:cs="仿宋"/>
          <w:b/>
          <w:bCs/>
          <w:sz w:val="32"/>
          <w:szCs w:val="32"/>
        </w:rPr>
        <w:t>制片和自动样本处理设备服务。</w:t>
      </w:r>
    </w:p>
    <w:p>
      <w:pPr>
        <w:numPr>
          <w:ilvl w:val="0"/>
          <w:numId w:val="0"/>
        </w:numPr>
        <w:spacing w:line="240" w:lineRule="auto"/>
        <w:rPr>
          <w:rFonts w:hint="eastAsia" w:ascii="仿宋" w:hAnsi="仿宋" w:eastAsia="仿宋" w:cs="仿宋"/>
          <w:b/>
          <w:bCs/>
          <w:sz w:val="32"/>
          <w:szCs w:val="32"/>
          <w:lang w:eastAsia="zh-CN"/>
        </w:rPr>
      </w:pPr>
    </w:p>
    <w:p>
      <w:pPr>
        <w:spacing w:line="240" w:lineRule="auto"/>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rPr>
        <w:t>2、</w:t>
      </w:r>
      <w:r>
        <w:rPr>
          <w:rFonts w:hint="eastAsia" w:ascii="仿宋" w:hAnsi="仿宋" w:eastAsia="仿宋" w:cs="仿宋"/>
          <w:b/>
          <w:bCs/>
          <w:color w:val="000000"/>
          <w:kern w:val="0"/>
          <w:sz w:val="32"/>
          <w:szCs w:val="32"/>
        </w:rPr>
        <w:t>化学药物用药指导的基因检测试剂</w:t>
      </w:r>
    </w:p>
    <w:p>
      <w:pPr>
        <w:spacing w:line="240" w:lineRule="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试剂名称：测序反应通用试剂盒</w:t>
      </w:r>
    </w:p>
    <w:p>
      <w:pPr>
        <w:widowControl/>
        <w:spacing w:line="240" w:lineRule="auto"/>
        <w:jc w:val="left"/>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检测方法：非PCR方法学</w:t>
      </w:r>
    </w:p>
    <w:p>
      <w:pPr>
        <w:widowControl/>
        <w:spacing w:line="240" w:lineRule="auto"/>
        <w:jc w:val="left"/>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检测目的：个体化用药是基于患者间的个体差异对患者可能出现的用药情况作出科学的预</w:t>
      </w:r>
    </w:p>
    <w:p>
      <w:pPr>
        <w:widowControl/>
        <w:spacing w:line="240" w:lineRule="auto"/>
        <w:ind w:firstLine="321" w:firstLineChars="100"/>
        <w:jc w:val="left"/>
        <w:rPr>
          <w:rFonts w:hint="eastAsia" w:ascii="仿宋" w:hAnsi="仿宋" w:eastAsia="仿宋" w:cs="仿宋"/>
          <w:b/>
          <w:bCs/>
          <w:sz w:val="32"/>
          <w:szCs w:val="32"/>
        </w:rPr>
      </w:pPr>
      <w:r>
        <w:rPr>
          <w:rFonts w:hint="eastAsia" w:ascii="仿宋" w:hAnsi="仿宋" w:eastAsia="仿宋" w:cs="仿宋"/>
          <w:b/>
          <w:bCs/>
          <w:sz w:val="32"/>
          <w:szCs w:val="32"/>
        </w:rPr>
        <w:t>测，然后制定个体化的给药方案。在用药前，如果能够明确患者的药物相关基因类型，就可以</w:t>
      </w:r>
    </w:p>
    <w:p>
      <w:pPr>
        <w:widowControl/>
        <w:spacing w:line="240" w:lineRule="auto"/>
        <w:ind w:firstLine="321" w:firstLineChars="100"/>
        <w:jc w:val="left"/>
        <w:rPr>
          <w:rFonts w:hint="eastAsia" w:ascii="仿宋" w:hAnsi="仿宋" w:eastAsia="仿宋" w:cs="仿宋"/>
          <w:b/>
          <w:bCs/>
          <w:sz w:val="32"/>
          <w:szCs w:val="32"/>
        </w:rPr>
      </w:pPr>
      <w:r>
        <w:rPr>
          <w:rFonts w:hint="eastAsia" w:ascii="仿宋" w:hAnsi="仿宋" w:eastAsia="仿宋" w:cs="仿宋"/>
          <w:b/>
          <w:bCs/>
          <w:sz w:val="32"/>
          <w:szCs w:val="32"/>
        </w:rPr>
        <w:t>制定更加科学的给药方案，实现患者由“对症下药”到“对人下药”的转变，从而提高疗效和</w:t>
      </w:r>
    </w:p>
    <w:p>
      <w:pPr>
        <w:widowControl/>
        <w:spacing w:line="240" w:lineRule="auto"/>
        <w:ind w:firstLine="321" w:firstLineChars="100"/>
        <w:jc w:val="left"/>
        <w:rPr>
          <w:rFonts w:hint="eastAsia" w:ascii="仿宋" w:hAnsi="仿宋" w:eastAsia="仿宋" w:cs="仿宋"/>
          <w:b/>
          <w:bCs/>
          <w:sz w:val="32"/>
          <w:szCs w:val="32"/>
        </w:rPr>
      </w:pPr>
      <w:r>
        <w:rPr>
          <w:rFonts w:hint="eastAsia" w:ascii="仿宋" w:hAnsi="仿宋" w:eastAsia="仿宋" w:cs="仿宋"/>
          <w:b/>
          <w:bCs/>
          <w:sz w:val="32"/>
          <w:szCs w:val="32"/>
        </w:rPr>
        <w:t>降低不良反应，减少医疗费用，避免医疗资源浪费。实现我院倡导的个体化精准给药。</w:t>
      </w:r>
    </w:p>
    <w:p>
      <w:pPr>
        <w:widowControl/>
        <w:jc w:val="left"/>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w:t>
      </w:r>
      <w:r>
        <w:rPr>
          <w:rFonts w:hint="eastAsia" w:ascii="仿宋" w:hAnsi="仿宋" w:eastAsia="仿宋" w:cs="仿宋"/>
          <w:b/>
          <w:bCs/>
          <w:sz w:val="32"/>
          <w:szCs w:val="32"/>
        </w:rPr>
        <w:t>要求试剂的准确性：能够提供最新的2019、2020年国家卫健委临检中心室间质评报告</w:t>
      </w:r>
      <w:r>
        <w:rPr>
          <w:rFonts w:hint="eastAsia" w:ascii="仿宋" w:hAnsi="仿宋" w:eastAsia="仿宋" w:cs="仿宋"/>
          <w:b/>
          <w:bCs/>
          <w:sz w:val="32"/>
          <w:szCs w:val="32"/>
          <w:lang w:eastAsia="zh-CN"/>
        </w:rPr>
        <w:t>。</w:t>
      </w:r>
    </w:p>
    <w:p>
      <w:pPr>
        <w:spacing w:line="220" w:lineRule="atLeast"/>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5</w:t>
      </w:r>
      <w:r>
        <w:rPr>
          <w:rFonts w:hint="eastAsia" w:ascii="仿宋" w:hAnsi="仿宋" w:eastAsia="仿宋" w:cs="仿宋"/>
          <w:b/>
          <w:bCs/>
          <w:sz w:val="32"/>
          <w:szCs w:val="32"/>
          <w:lang w:eastAsia="zh-CN"/>
        </w:rPr>
        <w:t>）</w:t>
      </w:r>
      <w:r>
        <w:rPr>
          <w:rFonts w:hint="eastAsia" w:ascii="仿宋" w:hAnsi="仿宋" w:eastAsia="仿宋" w:cs="仿宋"/>
          <w:b/>
          <w:bCs/>
          <w:sz w:val="32"/>
          <w:szCs w:val="32"/>
        </w:rPr>
        <w:t>检测项目（针对我院现有化学药品）：</w:t>
      </w:r>
    </w:p>
    <w:tbl>
      <w:tblPr>
        <w:tblStyle w:val="3"/>
        <w:tblW w:w="8186" w:type="dxa"/>
        <w:jc w:val="center"/>
        <w:tblInd w:w="-1093" w:type="dxa"/>
        <w:tblLayout w:type="fixed"/>
        <w:tblCellMar>
          <w:top w:w="0" w:type="dxa"/>
          <w:left w:w="108" w:type="dxa"/>
          <w:bottom w:w="0" w:type="dxa"/>
          <w:right w:w="108" w:type="dxa"/>
        </w:tblCellMar>
      </w:tblPr>
      <w:tblGrid>
        <w:gridCol w:w="3126"/>
        <w:gridCol w:w="5060"/>
      </w:tblGrid>
      <w:tr>
        <w:tblPrEx>
          <w:tblLayout w:type="fixed"/>
          <w:tblCellMar>
            <w:top w:w="0" w:type="dxa"/>
            <w:left w:w="108" w:type="dxa"/>
            <w:bottom w:w="0" w:type="dxa"/>
            <w:right w:w="108" w:type="dxa"/>
          </w:tblCellMar>
        </w:tblPrEx>
        <w:trPr>
          <w:trHeight w:val="110" w:hRule="atLeast"/>
          <w:jc w:val="center"/>
        </w:trPr>
        <w:tc>
          <w:tcPr>
            <w:tcW w:w="31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分类</w:t>
            </w:r>
          </w:p>
        </w:tc>
        <w:tc>
          <w:tcPr>
            <w:tcW w:w="506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药物名称</w:t>
            </w:r>
          </w:p>
        </w:tc>
      </w:tr>
      <w:tr>
        <w:tblPrEx>
          <w:tblLayout w:type="fixed"/>
          <w:tblCellMar>
            <w:top w:w="0" w:type="dxa"/>
            <w:left w:w="108" w:type="dxa"/>
            <w:bottom w:w="0" w:type="dxa"/>
            <w:right w:w="108" w:type="dxa"/>
          </w:tblCellMar>
        </w:tblPrEx>
        <w:trPr>
          <w:trHeight w:val="270" w:hRule="atLeast"/>
          <w:jc w:val="center"/>
        </w:trPr>
        <w:tc>
          <w:tcPr>
            <w:tcW w:w="3126"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抗凝类</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氯吡格雷</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阿司匹林</w:t>
            </w:r>
          </w:p>
        </w:tc>
      </w:tr>
      <w:tr>
        <w:tblPrEx>
          <w:tblLayout w:type="fixed"/>
          <w:tblCellMar>
            <w:top w:w="0" w:type="dxa"/>
            <w:left w:w="108" w:type="dxa"/>
            <w:bottom w:w="0" w:type="dxa"/>
            <w:right w:w="108" w:type="dxa"/>
          </w:tblCellMar>
        </w:tblPrEx>
        <w:trPr>
          <w:trHeight w:val="270" w:hRule="atLeast"/>
          <w:jc w:val="center"/>
        </w:trPr>
        <w:tc>
          <w:tcPr>
            <w:tcW w:w="3126"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降脂类</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阿托伐他汀</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瑞舒伐他汀</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辛伐他汀</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普伐他汀</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氟伐他汀</w:t>
            </w:r>
          </w:p>
        </w:tc>
      </w:tr>
      <w:tr>
        <w:tblPrEx>
          <w:tblLayout w:type="fixed"/>
          <w:tblCellMar>
            <w:top w:w="0" w:type="dxa"/>
            <w:left w:w="108" w:type="dxa"/>
            <w:bottom w:w="0" w:type="dxa"/>
            <w:right w:w="108" w:type="dxa"/>
          </w:tblCellMar>
        </w:tblPrEx>
        <w:trPr>
          <w:trHeight w:val="270" w:hRule="atLeast"/>
          <w:jc w:val="center"/>
        </w:trPr>
        <w:tc>
          <w:tcPr>
            <w:tcW w:w="3126"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维生素类</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叶酸</w:t>
            </w:r>
          </w:p>
        </w:tc>
      </w:tr>
      <w:tr>
        <w:tblPrEx>
          <w:tblLayout w:type="fixed"/>
          <w:tblCellMar>
            <w:top w:w="0" w:type="dxa"/>
            <w:left w:w="108" w:type="dxa"/>
            <w:bottom w:w="0" w:type="dxa"/>
            <w:right w:w="108" w:type="dxa"/>
          </w:tblCellMar>
        </w:tblPrEx>
        <w:trPr>
          <w:trHeight w:val="270" w:hRule="atLeast"/>
          <w:jc w:val="center"/>
        </w:trPr>
        <w:tc>
          <w:tcPr>
            <w:tcW w:w="3126"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降压类</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二氢吡啶类钙离子通道阻滞剂（硝苯地平）</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血管紧张素II受体拮抗剂（ARB）</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血管紧张素转换酶抑制剂（ACEI）</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呋塞米、螺内酯</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β1受体拮抗剂（美托洛尔）</w:t>
            </w:r>
          </w:p>
        </w:tc>
      </w:tr>
      <w:tr>
        <w:tblPrEx>
          <w:tblLayout w:type="fixed"/>
          <w:tblCellMar>
            <w:top w:w="0" w:type="dxa"/>
            <w:left w:w="108" w:type="dxa"/>
            <w:bottom w:w="0" w:type="dxa"/>
            <w:right w:w="108" w:type="dxa"/>
          </w:tblCellMar>
        </w:tblPrEx>
        <w:trPr>
          <w:trHeight w:val="270" w:hRule="atLeast"/>
          <w:jc w:val="center"/>
        </w:trPr>
        <w:tc>
          <w:tcPr>
            <w:tcW w:w="3126"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抗心功能不全</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地高辛</w:t>
            </w:r>
          </w:p>
        </w:tc>
      </w:tr>
      <w:tr>
        <w:tblPrEx>
          <w:tblLayout w:type="fixed"/>
          <w:tblCellMar>
            <w:top w:w="0" w:type="dxa"/>
            <w:left w:w="108" w:type="dxa"/>
            <w:bottom w:w="0" w:type="dxa"/>
            <w:right w:w="108" w:type="dxa"/>
          </w:tblCellMar>
        </w:tblPrEx>
        <w:trPr>
          <w:trHeight w:val="270" w:hRule="atLeast"/>
          <w:jc w:val="center"/>
        </w:trPr>
        <w:tc>
          <w:tcPr>
            <w:tcW w:w="3126"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抗心绞痛</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硝酸甘油</w:t>
            </w:r>
          </w:p>
        </w:tc>
      </w:tr>
      <w:tr>
        <w:tblPrEx>
          <w:tblLayout w:type="fixed"/>
          <w:tblCellMar>
            <w:top w:w="0" w:type="dxa"/>
            <w:left w:w="108" w:type="dxa"/>
            <w:bottom w:w="0" w:type="dxa"/>
            <w:right w:w="108" w:type="dxa"/>
          </w:tblCellMar>
        </w:tblPrEx>
        <w:trPr>
          <w:trHeight w:val="270" w:hRule="atLeast"/>
          <w:jc w:val="center"/>
        </w:trPr>
        <w:tc>
          <w:tcPr>
            <w:tcW w:w="3126"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抗心律失常</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普罗帕酮</w:t>
            </w:r>
          </w:p>
        </w:tc>
      </w:tr>
      <w:tr>
        <w:tblPrEx>
          <w:tblLayout w:type="fixed"/>
          <w:tblCellMar>
            <w:top w:w="0" w:type="dxa"/>
            <w:left w:w="108" w:type="dxa"/>
            <w:bottom w:w="0" w:type="dxa"/>
            <w:right w:w="108" w:type="dxa"/>
          </w:tblCellMar>
        </w:tblPrEx>
        <w:trPr>
          <w:trHeight w:val="270" w:hRule="atLeast"/>
          <w:jc w:val="center"/>
        </w:trPr>
        <w:tc>
          <w:tcPr>
            <w:tcW w:w="3126"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抗溃疡类</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质子泵抑制剂（奥美拉唑、兰索拉唑、泮托拉唑）</w:t>
            </w:r>
          </w:p>
        </w:tc>
      </w:tr>
      <w:tr>
        <w:tblPrEx>
          <w:tblLayout w:type="fixed"/>
          <w:tblCellMar>
            <w:top w:w="0" w:type="dxa"/>
            <w:left w:w="108" w:type="dxa"/>
            <w:bottom w:w="0" w:type="dxa"/>
            <w:right w:w="108" w:type="dxa"/>
          </w:tblCellMar>
        </w:tblPrEx>
        <w:trPr>
          <w:trHeight w:val="270" w:hRule="atLeast"/>
          <w:jc w:val="center"/>
        </w:trPr>
        <w:tc>
          <w:tcPr>
            <w:tcW w:w="3126"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抗抑郁类</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艾司西酞普兰</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米氮平</w:t>
            </w:r>
          </w:p>
        </w:tc>
      </w:tr>
      <w:tr>
        <w:tblPrEx>
          <w:tblLayout w:type="fixed"/>
          <w:tblCellMar>
            <w:top w:w="0" w:type="dxa"/>
            <w:left w:w="108" w:type="dxa"/>
            <w:bottom w:w="0" w:type="dxa"/>
            <w:right w:w="108" w:type="dxa"/>
          </w:tblCellMar>
        </w:tblPrEx>
        <w:trPr>
          <w:trHeight w:val="270" w:hRule="atLeast"/>
          <w:jc w:val="center"/>
        </w:trPr>
        <w:tc>
          <w:tcPr>
            <w:tcW w:w="3126"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抗癫痫类</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卡马西平</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苯妥英钠</w:t>
            </w:r>
          </w:p>
        </w:tc>
      </w:tr>
      <w:tr>
        <w:tblPrEx>
          <w:tblLayout w:type="fixed"/>
          <w:tblCellMar>
            <w:top w:w="0" w:type="dxa"/>
            <w:left w:w="108" w:type="dxa"/>
            <w:bottom w:w="0" w:type="dxa"/>
            <w:right w:w="108" w:type="dxa"/>
          </w:tblCellMar>
        </w:tblPrEx>
        <w:trPr>
          <w:trHeight w:val="270" w:hRule="atLeast"/>
          <w:jc w:val="center"/>
        </w:trPr>
        <w:tc>
          <w:tcPr>
            <w:tcW w:w="3126"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抗精神病</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利培酮</w:t>
            </w:r>
          </w:p>
        </w:tc>
      </w:tr>
      <w:tr>
        <w:tblPrEx>
          <w:tblLayout w:type="fixed"/>
          <w:tblCellMar>
            <w:top w:w="0" w:type="dxa"/>
            <w:left w:w="108" w:type="dxa"/>
            <w:bottom w:w="0" w:type="dxa"/>
            <w:right w:w="108" w:type="dxa"/>
          </w:tblCellMar>
        </w:tblPrEx>
        <w:trPr>
          <w:trHeight w:val="270" w:hRule="atLeast"/>
          <w:jc w:val="center"/>
        </w:trPr>
        <w:tc>
          <w:tcPr>
            <w:tcW w:w="3126"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抗真菌</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伏立康唑</w:t>
            </w:r>
          </w:p>
        </w:tc>
      </w:tr>
      <w:tr>
        <w:tblPrEx>
          <w:tblLayout w:type="fixed"/>
          <w:tblCellMar>
            <w:top w:w="0" w:type="dxa"/>
            <w:left w:w="108" w:type="dxa"/>
            <w:bottom w:w="0" w:type="dxa"/>
            <w:right w:w="108" w:type="dxa"/>
          </w:tblCellMar>
        </w:tblPrEx>
        <w:trPr>
          <w:trHeight w:val="270" w:hRule="atLeast"/>
          <w:jc w:val="center"/>
        </w:trPr>
        <w:tc>
          <w:tcPr>
            <w:tcW w:w="3126"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抗结核类</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异烟肼；利福平/吡嗪酰胺</w:t>
            </w:r>
          </w:p>
        </w:tc>
      </w:tr>
      <w:tr>
        <w:tblPrEx>
          <w:tblLayout w:type="fixed"/>
          <w:tblCellMar>
            <w:top w:w="0" w:type="dxa"/>
            <w:left w:w="108" w:type="dxa"/>
            <w:bottom w:w="0" w:type="dxa"/>
            <w:right w:w="108" w:type="dxa"/>
          </w:tblCellMar>
        </w:tblPrEx>
        <w:trPr>
          <w:trHeight w:val="270" w:hRule="atLeast"/>
          <w:jc w:val="center"/>
        </w:trPr>
        <w:tc>
          <w:tcPr>
            <w:tcW w:w="3126"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抗病毒类</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聚乙二醇干扰素</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利巴韦林</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拉米夫定</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替诺福韦</w:t>
            </w:r>
          </w:p>
        </w:tc>
      </w:tr>
      <w:tr>
        <w:tblPrEx>
          <w:tblLayout w:type="fixed"/>
          <w:tblCellMar>
            <w:top w:w="0" w:type="dxa"/>
            <w:left w:w="108" w:type="dxa"/>
            <w:bottom w:w="0" w:type="dxa"/>
            <w:right w:w="108" w:type="dxa"/>
          </w:tblCellMar>
        </w:tblPrEx>
        <w:trPr>
          <w:trHeight w:val="270" w:hRule="atLeast"/>
          <w:jc w:val="center"/>
        </w:trPr>
        <w:tc>
          <w:tcPr>
            <w:tcW w:w="3126"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降糖类</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二甲双胍</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磺酰脲类降糖药</w:t>
            </w:r>
          </w:p>
        </w:tc>
      </w:tr>
      <w:tr>
        <w:tblPrEx>
          <w:tblLayout w:type="fixed"/>
          <w:tblCellMar>
            <w:top w:w="0" w:type="dxa"/>
            <w:left w:w="108" w:type="dxa"/>
            <w:bottom w:w="0" w:type="dxa"/>
            <w:right w:w="108" w:type="dxa"/>
          </w:tblCellMar>
        </w:tblPrEx>
        <w:trPr>
          <w:trHeight w:val="270" w:hRule="atLeast"/>
          <w:jc w:val="center"/>
        </w:trPr>
        <w:tc>
          <w:tcPr>
            <w:tcW w:w="3126"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抗甲亢</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甲巯咪唑、丙硫氧嘧啶</w:t>
            </w:r>
          </w:p>
        </w:tc>
      </w:tr>
      <w:tr>
        <w:tblPrEx>
          <w:tblLayout w:type="fixed"/>
          <w:tblCellMar>
            <w:top w:w="0" w:type="dxa"/>
            <w:left w:w="108" w:type="dxa"/>
            <w:bottom w:w="0" w:type="dxa"/>
            <w:right w:w="108" w:type="dxa"/>
          </w:tblCellMar>
        </w:tblPrEx>
        <w:trPr>
          <w:trHeight w:val="270" w:hRule="atLeast"/>
          <w:jc w:val="center"/>
        </w:trPr>
        <w:tc>
          <w:tcPr>
            <w:tcW w:w="3126"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免疫抑制剂</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糖皮质激素冲击（甲强龙、强的松龙等）</w:t>
            </w:r>
          </w:p>
        </w:tc>
      </w:tr>
      <w:tr>
        <w:tblPrEx>
          <w:tblLayout w:type="fixed"/>
          <w:tblCellMar>
            <w:top w:w="0" w:type="dxa"/>
            <w:left w:w="108" w:type="dxa"/>
            <w:bottom w:w="0" w:type="dxa"/>
            <w:right w:w="108" w:type="dxa"/>
          </w:tblCellMar>
        </w:tblPrEx>
        <w:trPr>
          <w:trHeight w:val="270" w:hRule="atLeast"/>
          <w:jc w:val="center"/>
        </w:trPr>
        <w:tc>
          <w:tcPr>
            <w:tcW w:w="3126"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抗炎</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塞来昔布</w:t>
            </w:r>
          </w:p>
        </w:tc>
      </w:tr>
      <w:tr>
        <w:tblPrEx>
          <w:tblLayout w:type="fixed"/>
          <w:tblCellMar>
            <w:top w:w="0" w:type="dxa"/>
            <w:left w:w="108" w:type="dxa"/>
            <w:bottom w:w="0" w:type="dxa"/>
            <w:right w:w="108" w:type="dxa"/>
          </w:tblCellMar>
        </w:tblPrEx>
        <w:trPr>
          <w:trHeight w:val="270" w:hRule="atLeast"/>
          <w:jc w:val="center"/>
        </w:trPr>
        <w:tc>
          <w:tcPr>
            <w:tcW w:w="3126"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抗痛风</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别嘌醇</w:t>
            </w:r>
          </w:p>
        </w:tc>
      </w:tr>
      <w:tr>
        <w:tblPrEx>
          <w:tblLayout w:type="fixed"/>
          <w:tblCellMar>
            <w:top w:w="0" w:type="dxa"/>
            <w:left w:w="108" w:type="dxa"/>
            <w:bottom w:w="0" w:type="dxa"/>
            <w:right w:w="108" w:type="dxa"/>
          </w:tblCellMar>
        </w:tblPrEx>
        <w:trPr>
          <w:trHeight w:val="270" w:hRule="atLeast"/>
          <w:jc w:val="center"/>
        </w:trPr>
        <w:tc>
          <w:tcPr>
            <w:tcW w:w="3126"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抗白血病</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甲氨蝶呤</w:t>
            </w:r>
          </w:p>
        </w:tc>
      </w:tr>
      <w:tr>
        <w:tblPrEx>
          <w:tblLayout w:type="fixed"/>
          <w:tblCellMar>
            <w:top w:w="0" w:type="dxa"/>
            <w:left w:w="108" w:type="dxa"/>
            <w:bottom w:w="0" w:type="dxa"/>
            <w:right w:w="108" w:type="dxa"/>
          </w:tblCellMar>
        </w:tblPrEx>
        <w:trPr>
          <w:trHeight w:val="270" w:hRule="atLeast"/>
          <w:jc w:val="center"/>
        </w:trPr>
        <w:tc>
          <w:tcPr>
            <w:tcW w:w="3126"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抗肿瘤类</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氟尿嘧啶</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卡培他滨</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替加氟</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顺铂</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卡铂</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奥沙利铂</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环磷酰胺</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吉西他滨</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长春新碱</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伊立替康</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他莫昔芬</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紫杉醇</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多西他赛</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培美曲塞</w:t>
            </w:r>
          </w:p>
        </w:tc>
      </w:tr>
      <w:tr>
        <w:tblPrEx>
          <w:tblLayout w:type="fixed"/>
          <w:tblCellMar>
            <w:top w:w="0" w:type="dxa"/>
            <w:left w:w="108" w:type="dxa"/>
            <w:bottom w:w="0" w:type="dxa"/>
            <w:right w:w="108" w:type="dxa"/>
          </w:tblCellMar>
        </w:tblPrEx>
        <w:trPr>
          <w:trHeight w:val="270" w:hRule="atLeast"/>
          <w:jc w:val="center"/>
        </w:trPr>
        <w:tc>
          <w:tcPr>
            <w:tcW w:w="3126"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止吐药</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昂丹司琼</w:t>
            </w:r>
          </w:p>
        </w:tc>
      </w:tr>
      <w:tr>
        <w:tblPrEx>
          <w:tblLayout w:type="fixed"/>
          <w:tblCellMar>
            <w:top w:w="0" w:type="dxa"/>
            <w:left w:w="108" w:type="dxa"/>
            <w:bottom w:w="0" w:type="dxa"/>
            <w:right w:w="108" w:type="dxa"/>
          </w:tblCellMar>
        </w:tblPrEx>
        <w:trPr>
          <w:trHeight w:val="270" w:hRule="atLeast"/>
          <w:jc w:val="center"/>
        </w:trPr>
        <w:tc>
          <w:tcPr>
            <w:tcW w:w="3126"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镇痛类</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芬太尼、舒芬太尼、吗啡、哌替啶</w:t>
            </w:r>
          </w:p>
        </w:tc>
      </w:tr>
      <w:tr>
        <w:tblPrEx>
          <w:tblLayout w:type="fixed"/>
          <w:tblCellMar>
            <w:top w:w="0" w:type="dxa"/>
            <w:left w:w="108" w:type="dxa"/>
            <w:bottom w:w="0" w:type="dxa"/>
            <w:right w:w="108" w:type="dxa"/>
          </w:tblCellMar>
        </w:tblPrEx>
        <w:trPr>
          <w:trHeight w:val="270" w:hRule="atLeast"/>
          <w:jc w:val="center"/>
        </w:trPr>
        <w:tc>
          <w:tcPr>
            <w:tcW w:w="3126"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麻醉类</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可待因</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曲马多</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丙泊酚</w:t>
            </w:r>
          </w:p>
        </w:tc>
      </w:tr>
      <w:tr>
        <w:tblPrEx>
          <w:tblLayout w:type="fixed"/>
          <w:tblCellMar>
            <w:top w:w="0" w:type="dxa"/>
            <w:left w:w="108" w:type="dxa"/>
            <w:bottom w:w="0" w:type="dxa"/>
            <w:right w:w="108" w:type="dxa"/>
          </w:tblCellMar>
        </w:tblPrEx>
        <w:trPr>
          <w:trHeight w:val="270" w:hRule="atLeast"/>
          <w:jc w:val="center"/>
        </w:trPr>
        <w:tc>
          <w:tcPr>
            <w:tcW w:w="3126"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抗哮喘类</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沙丁胺醇、沙美特罗</w:t>
            </w:r>
          </w:p>
        </w:tc>
      </w:tr>
      <w:tr>
        <w:tblPrEx>
          <w:tblLayout w:type="fixed"/>
          <w:tblCellMar>
            <w:top w:w="0" w:type="dxa"/>
            <w:left w:w="108" w:type="dxa"/>
            <w:bottom w:w="0" w:type="dxa"/>
            <w:right w:w="108" w:type="dxa"/>
          </w:tblCellMar>
        </w:tblPrEx>
        <w:trPr>
          <w:trHeight w:val="270" w:hRule="atLeast"/>
          <w:jc w:val="center"/>
        </w:trPr>
        <w:tc>
          <w:tcPr>
            <w:tcW w:w="3126"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体检及其他项目</w:t>
            </w: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酒精代谢能力的基因检测</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痴呆症风险及用药指导的基因检测</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心脑血管疾病风险及用药指导的基因检测</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缺血性卒中风险及用药指导的基因检测</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少精、弱精症风险及用药指导的基因检测</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2型糖尿病风险及用药指导的基因检测</w:t>
            </w:r>
          </w:p>
        </w:tc>
      </w:tr>
      <w:tr>
        <w:tblPrEx>
          <w:tblLayout w:type="fixed"/>
          <w:tblCellMar>
            <w:top w:w="0" w:type="dxa"/>
            <w:left w:w="108" w:type="dxa"/>
            <w:bottom w:w="0" w:type="dxa"/>
            <w:right w:w="108" w:type="dxa"/>
          </w:tblCellMar>
        </w:tblPrEx>
        <w:trPr>
          <w:trHeight w:val="270" w:hRule="atLeast"/>
          <w:jc w:val="center"/>
        </w:trPr>
        <w:tc>
          <w:tcPr>
            <w:tcW w:w="31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b/>
                <w:bCs/>
                <w:color w:val="000000"/>
                <w:kern w:val="0"/>
                <w:sz w:val="32"/>
                <w:szCs w:val="32"/>
              </w:rPr>
            </w:pPr>
          </w:p>
        </w:tc>
        <w:tc>
          <w:tcPr>
            <w:tcW w:w="506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胰岛素抵抗风险及用药指导的基因检测</w:t>
            </w:r>
          </w:p>
        </w:tc>
      </w:tr>
    </w:tbl>
    <w:p>
      <w:pPr>
        <w:spacing w:line="220" w:lineRule="atLeast"/>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u w:val="single"/>
          <w:lang w:eastAsia="zh-CN"/>
        </w:rPr>
        <w:t>注：“</w:t>
      </w:r>
      <w:r>
        <w:rPr>
          <w:rFonts w:hint="eastAsia" w:ascii="仿宋" w:hAnsi="仿宋" w:eastAsia="仿宋" w:cs="仿宋"/>
          <w:b/>
          <w:bCs/>
          <w:sz w:val="32"/>
          <w:szCs w:val="32"/>
          <w:u w:val="single"/>
        </w:rPr>
        <w:t>*</w:t>
      </w:r>
      <w:r>
        <w:rPr>
          <w:rFonts w:hint="eastAsia" w:ascii="仿宋" w:hAnsi="仿宋" w:eastAsia="仿宋" w:cs="仿宋"/>
          <w:b/>
          <w:bCs/>
          <w:sz w:val="32"/>
          <w:szCs w:val="32"/>
          <w:u w:val="single"/>
          <w:lang w:eastAsia="zh-CN"/>
        </w:rPr>
        <w:t>”条款须满足；</w:t>
      </w:r>
      <w:r>
        <w:rPr>
          <w:rFonts w:hint="eastAsia" w:ascii="仿宋" w:hAnsi="仿宋" w:eastAsia="仿宋" w:cs="仿宋"/>
          <w:b/>
          <w:bCs/>
          <w:color w:val="000000"/>
          <w:kern w:val="0"/>
          <w:sz w:val="32"/>
          <w:szCs w:val="32"/>
          <w:u w:val="single"/>
        </w:rPr>
        <w:t>化学药物用药指导的基因检测试剂</w:t>
      </w:r>
      <w:r>
        <w:rPr>
          <w:rFonts w:hint="eastAsia" w:ascii="仿宋" w:hAnsi="仿宋" w:eastAsia="仿宋" w:cs="仿宋"/>
          <w:b/>
          <w:bCs/>
          <w:sz w:val="32"/>
          <w:szCs w:val="32"/>
          <w:u w:val="single"/>
          <w:lang w:eastAsia="zh-CN"/>
        </w:rPr>
        <w:t>（</w:t>
      </w:r>
      <w:r>
        <w:rPr>
          <w:rFonts w:hint="eastAsia" w:ascii="仿宋" w:hAnsi="仿宋" w:eastAsia="仿宋" w:cs="仿宋"/>
          <w:b/>
          <w:bCs/>
          <w:sz w:val="32"/>
          <w:szCs w:val="32"/>
          <w:u w:val="single"/>
        </w:rPr>
        <w:t>测序反应通用试剂盒</w:t>
      </w:r>
      <w:r>
        <w:rPr>
          <w:rFonts w:hint="eastAsia" w:ascii="仿宋" w:hAnsi="仿宋" w:eastAsia="仿宋" w:cs="仿宋"/>
          <w:b/>
          <w:bCs/>
          <w:sz w:val="32"/>
          <w:szCs w:val="32"/>
          <w:u w:val="single"/>
          <w:lang w:val="en-US" w:eastAsia="zh-CN"/>
        </w:rPr>
        <w:t>-</w:t>
      </w:r>
      <w:r>
        <w:rPr>
          <w:rFonts w:hint="eastAsia" w:ascii="仿宋" w:hAnsi="仿宋" w:eastAsia="仿宋" w:cs="仿宋"/>
          <w:b/>
          <w:bCs/>
          <w:sz w:val="32"/>
          <w:szCs w:val="32"/>
          <w:u w:val="single"/>
        </w:rPr>
        <w:t>非PCR方法学</w:t>
      </w:r>
      <w:r>
        <w:rPr>
          <w:rFonts w:hint="eastAsia" w:ascii="仿宋" w:hAnsi="仿宋" w:eastAsia="仿宋" w:cs="仿宋"/>
          <w:b/>
          <w:bCs/>
          <w:sz w:val="32"/>
          <w:szCs w:val="32"/>
          <w:u w:val="single"/>
          <w:lang w:eastAsia="zh-CN"/>
        </w:rPr>
        <w:t>）项目在</w:t>
      </w:r>
      <w:r>
        <w:rPr>
          <w:rFonts w:hint="eastAsia" w:ascii="仿宋" w:hAnsi="仿宋" w:eastAsia="仿宋" w:cs="仿宋"/>
          <w:b/>
          <w:bCs/>
          <w:sz w:val="32"/>
          <w:szCs w:val="32"/>
          <w:u w:val="single"/>
          <w:lang w:val="en-US" w:eastAsia="zh-CN"/>
        </w:rPr>
        <w:t>9月28日已在宣城市中心医院的官网进行招标，因一些原因暂停，现启动招标，以本次招标文件为准。之前已报名的投标公司有效。</w:t>
      </w:r>
    </w:p>
    <w:p>
      <w:pPr>
        <w:jc w:val="both"/>
        <w:rPr>
          <w:rFonts w:hint="eastAsia" w:ascii="仿宋" w:hAnsi="仿宋" w:eastAsia="仿宋" w:cs="仿宋"/>
          <w:b/>
          <w:bCs/>
          <w:color w:val="auto"/>
          <w:sz w:val="32"/>
          <w:szCs w:val="32"/>
          <w:lang w:val="en-US" w:eastAsia="zh-CN"/>
        </w:rPr>
      </w:pPr>
    </w:p>
    <w:p>
      <w:pPr>
        <w:rPr>
          <w:rFonts w:hint="eastAsia"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40D44"/>
    <w:rsid w:val="5BB40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Table Paragraph"/>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Office_11.8.2.7919_F1E327BC-269C-435d-A152-05C5408002CA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2020-12-11T01:17:00Z</dcterms:created>
  <dc:creator>770152</dc:creator>
  <cp:lastModifiedBy>770152</cp:lastModifiedBy>
  <dcterms:modified xsi:type="dcterms:W3CDTF">2020-12-11T01:21:09Z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ies>
</file>