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60" w:lineRule="exact"/>
        <w:ind w:left="0" w:firstLine="0"/>
        <w:textAlignment w:val="auto"/>
        <w:outlineLvl w:val="9"/>
        <w:rPr>
          <w:rFonts w:hint="eastAsia" w:ascii="宋体" w:hAnsi="宋体" w:eastAsia="宋体" w:cs="宋体"/>
          <w:b/>
          <w:bCs/>
          <w:i w:val="0"/>
          <w:caps w:val="0"/>
          <w:color w:val="auto"/>
          <w:spacing w:val="0"/>
          <w:sz w:val="24"/>
          <w:szCs w:val="24"/>
          <w:shd w:val="clear" w:fill="FFFFFF"/>
        </w:rPr>
      </w:pPr>
      <w:bookmarkStart w:id="0" w:name="_GoBack"/>
      <w:bookmarkEnd w:id="0"/>
      <w:r>
        <w:rPr>
          <w:rFonts w:hint="eastAsia" w:ascii="宋体" w:hAnsi="宋体" w:eastAsia="宋体" w:cs="宋体"/>
          <w:b/>
          <w:i w:val="0"/>
          <w:color w:val="000000"/>
          <w:kern w:val="0"/>
          <w:sz w:val="28"/>
          <w:szCs w:val="28"/>
          <w:u w:val="none"/>
          <w:lang w:val="en-US" w:eastAsia="zh-CN" w:bidi="ar"/>
        </w:rPr>
        <w:t>附件：</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60" w:lineRule="exact"/>
        <w:ind w:left="0" w:firstLine="0"/>
        <w:jc w:val="center"/>
        <w:textAlignment w:val="auto"/>
        <w:outlineLvl w:val="9"/>
        <w:rPr>
          <w:rFonts w:hint="eastAsia" w:ascii="宋体" w:hAnsi="宋体" w:eastAsia="宋体" w:cs="宋体"/>
          <w:i w:val="0"/>
          <w:caps w:val="0"/>
          <w:color w:val="auto"/>
          <w:spacing w:val="0"/>
          <w:sz w:val="40"/>
          <w:szCs w:val="40"/>
          <w:shd w:val="clear" w:fill="FFFFFF"/>
        </w:rPr>
      </w:pPr>
      <w:r>
        <w:rPr>
          <w:rFonts w:hint="eastAsia" w:ascii="宋体" w:hAnsi="宋体" w:eastAsia="宋体" w:cs="宋体"/>
          <w:b/>
          <w:i w:val="0"/>
          <w:color w:val="000000"/>
          <w:kern w:val="0"/>
          <w:sz w:val="28"/>
          <w:szCs w:val="28"/>
          <w:u w:val="none"/>
          <w:lang w:val="en-US" w:eastAsia="zh-CN" w:bidi="ar"/>
        </w:rPr>
        <w:t>会议室LED显示屏及音响系统改造清单及参数要求</w:t>
      </w:r>
    </w:p>
    <w:tbl>
      <w:tblPr>
        <w:tblStyle w:val="6"/>
        <w:tblW w:w="10161" w:type="dxa"/>
        <w:jc w:val="center"/>
        <w:tblInd w:w="3" w:type="dxa"/>
        <w:shd w:val="clear" w:color="auto" w:fill="auto"/>
        <w:tblLayout w:type="fixed"/>
        <w:tblCellMar>
          <w:top w:w="0" w:type="dxa"/>
          <w:left w:w="0" w:type="dxa"/>
          <w:bottom w:w="0" w:type="dxa"/>
          <w:right w:w="0" w:type="dxa"/>
        </w:tblCellMar>
      </w:tblPr>
      <w:tblGrid>
        <w:gridCol w:w="546"/>
        <w:gridCol w:w="1155"/>
        <w:gridCol w:w="915"/>
        <w:gridCol w:w="5398"/>
        <w:gridCol w:w="435"/>
        <w:gridCol w:w="525"/>
        <w:gridCol w:w="465"/>
        <w:gridCol w:w="722"/>
      </w:tblGrid>
      <w:tr>
        <w:tblPrEx>
          <w:shd w:val="clear" w:color="auto" w:fill="auto"/>
          <w:tblLayout w:type="fixed"/>
          <w:tblCellMar>
            <w:top w:w="0" w:type="dxa"/>
            <w:left w:w="0" w:type="dxa"/>
            <w:bottom w:w="0" w:type="dxa"/>
            <w:right w:w="0" w:type="dxa"/>
          </w:tblCellMar>
        </w:tblPrEx>
        <w:trPr>
          <w:trHeight w:val="50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货物名称</w:t>
            </w:r>
          </w:p>
        </w:tc>
        <w:tc>
          <w:tcPr>
            <w:tcW w:w="915" w:type="dxa"/>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推荐品牌</w:t>
            </w:r>
          </w:p>
        </w:tc>
        <w:tc>
          <w:tcPr>
            <w:tcW w:w="5398" w:type="dxa"/>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参数要求</w:t>
            </w:r>
          </w:p>
        </w:tc>
        <w:tc>
          <w:tcPr>
            <w:tcW w:w="435" w:type="dxa"/>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465" w:type="dxa"/>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单价</w:t>
            </w:r>
          </w:p>
        </w:tc>
        <w:tc>
          <w:tcPr>
            <w:tcW w:w="722" w:type="dxa"/>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r>
      <w:tr>
        <w:tblPrEx>
          <w:tblLayout w:type="fixed"/>
          <w:tblCellMar>
            <w:top w:w="0" w:type="dxa"/>
            <w:left w:w="0" w:type="dxa"/>
            <w:bottom w:w="0" w:type="dxa"/>
            <w:right w:w="0" w:type="dxa"/>
          </w:tblCellMar>
        </w:tblPrEx>
        <w:trPr>
          <w:trHeight w:val="480" w:hRule="atLeast"/>
          <w:jc w:val="center"/>
        </w:trPr>
        <w:tc>
          <w:tcPr>
            <w:tcW w:w="1016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一、LED显示屏：尺寸：长16块*高14块 （5.22m * 2.44m） 含包边5cm 底部包边15cm</w:t>
            </w:r>
          </w:p>
        </w:tc>
      </w:tr>
      <w:tr>
        <w:tblPrEx>
          <w:tblLayout w:type="fixed"/>
          <w:tblCellMar>
            <w:top w:w="0" w:type="dxa"/>
            <w:left w:w="0" w:type="dxa"/>
            <w:bottom w:w="0" w:type="dxa"/>
            <w:right w:w="0" w:type="dxa"/>
          </w:tblCellMar>
        </w:tblPrEx>
        <w:trPr>
          <w:trHeight w:val="9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spacing w:val="-15"/>
                <w:sz w:val="22"/>
              </w:rPr>
              <w:t>▲</w:t>
            </w:r>
            <w:r>
              <w:rPr>
                <w:rFonts w:hint="eastAsia" w:ascii="宋体" w:hAnsi="宋体" w:eastAsia="宋体" w:cs="宋体"/>
                <w:i w:val="0"/>
                <w:color w:val="000000"/>
                <w:kern w:val="0"/>
                <w:sz w:val="20"/>
                <w:szCs w:val="20"/>
                <w:u w:val="none"/>
                <w:lang w:val="en-US" w:eastAsia="zh-CN" w:bidi="ar"/>
              </w:rPr>
              <w:t>室内全彩显示屏P2.5（含6张备用）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联建，上海三思，强力巨彩</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outlineLvl w:val="9"/>
              <w:rPr>
                <w:rFonts w:hint="eastAsia" w:ascii="宋体" w:hAnsi="宋体" w:cs="宋体"/>
                <w:bCs/>
                <w:sz w:val="20"/>
                <w:szCs w:val="20"/>
                <w:lang w:val="en-US" w:eastAsia="zh-CN"/>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bCs/>
                <w:sz w:val="20"/>
                <w:szCs w:val="20"/>
                <w:lang w:val="en-US" w:eastAsia="zh-CN"/>
              </w:rPr>
              <w:t xml:space="preserve">)★室内全彩LED屏，像素点间距 2.5mm，显示密度 160000点/㎡； </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 xml:space="preserve">(2)★封装：SMD2020； </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(3)投标产品驱动器件必须满足</w:t>
            </w:r>
            <w:r>
              <w:rPr>
                <w:rFonts w:hint="eastAsia" w:ascii="宋体" w:hAnsi="宋体" w:cs="宋体"/>
                <w:bCs/>
                <w:sz w:val="20"/>
                <w:szCs w:val="20"/>
                <w:lang w:val="zh-CN" w:eastAsia="zh-CN"/>
              </w:rPr>
              <w:t>1/32恒流驱动</w:t>
            </w:r>
            <w:r>
              <w:rPr>
                <w:rFonts w:hint="eastAsia" w:ascii="宋体" w:hAnsi="宋体" w:cs="宋体"/>
                <w:bCs/>
                <w:sz w:val="20"/>
                <w:szCs w:val="20"/>
                <w:lang w:val="en-US" w:eastAsia="zh-CN"/>
              </w:rPr>
              <w:t xml:space="preserve">； </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(4)模组规格 128点×64点，320mm×160mm ；</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 xml:space="preserve">(5)亮度 ≥600cd/㎡； </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(6)亮度均匀性：</w:t>
            </w:r>
            <w:r>
              <w:rPr>
                <w:rFonts w:hint="eastAsia" w:ascii="宋体" w:hAnsi="宋体" w:cs="宋体"/>
                <w:bCs/>
                <w:sz w:val="20"/>
                <w:szCs w:val="20"/>
                <w:lang w:val="zh-CN" w:eastAsia="zh-CN"/>
              </w:rPr>
              <w:t>＞</w:t>
            </w:r>
            <w:r>
              <w:rPr>
                <w:rFonts w:hint="eastAsia" w:ascii="宋体" w:hAnsi="宋体" w:cs="宋体"/>
                <w:bCs/>
                <w:sz w:val="20"/>
                <w:szCs w:val="20"/>
                <w:lang w:val="en-US" w:eastAsia="zh-CN"/>
              </w:rPr>
              <w:t xml:space="preserve">0.95； </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(7)灰度级别 红、绿、蓝各12~14bits；</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bCs/>
                <w:sz w:val="20"/>
                <w:szCs w:val="20"/>
                <w:lang w:val="en-US" w:eastAsia="zh-CN"/>
              </w:rPr>
              <w:t>(8)显示颜色 ≥16.7M种，最大达4.3万亿种 ；</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 xml:space="preserve">(9)失控点数 ≤万分之一； </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(10)最佳视距 3～16米，可视角度 水平：</w:t>
            </w:r>
            <w:r>
              <w:rPr>
                <w:rFonts w:hint="eastAsia" w:ascii="宋体" w:hAnsi="宋体" w:cs="宋体"/>
                <w:bCs/>
                <w:sz w:val="20"/>
                <w:szCs w:val="20"/>
                <w:lang w:val="zh-CN" w:eastAsia="zh-CN"/>
              </w:rPr>
              <w:t>140±10度</w:t>
            </w:r>
            <w:r>
              <w:rPr>
                <w:rFonts w:hint="eastAsia" w:ascii="宋体" w:hAnsi="宋体" w:cs="宋体"/>
                <w:bCs/>
                <w:sz w:val="20"/>
                <w:szCs w:val="20"/>
                <w:lang w:val="en-US" w:eastAsia="zh-CN"/>
              </w:rPr>
              <w:t>°垂直</w:t>
            </w:r>
            <w:r>
              <w:rPr>
                <w:rFonts w:hint="eastAsia" w:ascii="宋体" w:hAnsi="宋体" w:cs="宋体"/>
                <w:bCs/>
                <w:sz w:val="20"/>
                <w:szCs w:val="20"/>
                <w:lang w:val="zh-CN" w:eastAsia="zh-CN"/>
              </w:rPr>
              <w:t>130±10度</w:t>
            </w:r>
            <w:r>
              <w:rPr>
                <w:rFonts w:hint="eastAsia" w:ascii="宋体" w:hAnsi="宋体" w:cs="宋体"/>
                <w:bCs/>
                <w:sz w:val="20"/>
                <w:szCs w:val="20"/>
                <w:lang w:val="en-US" w:eastAsia="zh-CN"/>
              </w:rPr>
              <w:t xml:space="preserve">；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(11)平整度：相邻像度间</w:t>
            </w:r>
            <w:r>
              <w:rPr>
                <w:rFonts w:hint="eastAsia" w:ascii="宋体" w:hAnsi="宋体" w:cs="宋体"/>
                <w:bCs/>
                <w:sz w:val="20"/>
                <w:szCs w:val="20"/>
                <w:lang w:val="zh-CN" w:eastAsia="zh-CN"/>
              </w:rPr>
              <w:t>＜1mm/㎡</w:t>
            </w:r>
            <w:r>
              <w:rPr>
                <w:rFonts w:hint="eastAsia" w:ascii="宋体" w:hAnsi="宋体" w:eastAsia="宋体" w:cs="宋体"/>
                <w:i w:val="0"/>
                <w:color w:val="000000"/>
                <w:kern w:val="0"/>
                <w:sz w:val="20"/>
                <w:szCs w:val="20"/>
                <w:u w:val="none"/>
                <w:lang w:val="en-US" w:eastAsia="zh-CN" w:bidi="ar"/>
              </w:rPr>
              <w:t>；模组拼接间隙</w:t>
            </w:r>
            <w:r>
              <w:rPr>
                <w:rFonts w:hint="eastAsia" w:ascii="宋体" w:hAnsi="宋体" w:cs="宋体"/>
                <w:bCs/>
                <w:sz w:val="20"/>
                <w:szCs w:val="20"/>
                <w:lang w:val="zh-CN" w:eastAsia="zh-CN"/>
              </w:rPr>
              <w:t>＜1mm/㎡</w:t>
            </w: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(12)亮度调节 </w:t>
            </w:r>
            <w:r>
              <w:rPr>
                <w:rFonts w:hint="eastAsia" w:ascii="宋体" w:hAnsi="宋体" w:cs="宋体"/>
                <w:bCs/>
                <w:sz w:val="20"/>
                <w:szCs w:val="20"/>
                <w:lang w:val="zh-CN" w:eastAsia="zh-CN"/>
              </w:rPr>
              <w:t>256级手动/自动</w:t>
            </w:r>
            <w:r>
              <w:rPr>
                <w:rFonts w:hint="eastAsia" w:ascii="宋体" w:hAnsi="宋体" w:eastAsia="宋体" w:cs="宋体"/>
                <w:i w:val="0"/>
                <w:color w:val="000000"/>
                <w:kern w:val="0"/>
                <w:sz w:val="20"/>
                <w:szCs w:val="20"/>
                <w:u w:val="none"/>
                <w:lang w:val="en-US" w:eastAsia="zh-CN" w:bidi="ar"/>
              </w:rPr>
              <w:t xml:space="preserve">调节；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(13)换帧频率 ≥60z，刷新频率 ≥1920Hz；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(14)屏体寿命 ≥10万小时，衰减率：≤15%（工作三年），连续工作时间＞72小时，平均无故障时间 ＞1万小时；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(15)工作电压 AC :220V±15%，50Hz±2 Hz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(16)环境温湿度 温度：</w:t>
            </w:r>
            <w:r>
              <w:rPr>
                <w:rFonts w:hint="eastAsia" w:ascii="宋体" w:hAnsi="宋体" w:cs="宋体"/>
                <w:bCs/>
                <w:sz w:val="20"/>
                <w:szCs w:val="20"/>
                <w:lang w:val="zh-CN" w:eastAsia="zh-CN"/>
              </w:rPr>
              <w:t>-20-40℃</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bCs/>
                <w:sz w:val="20"/>
                <w:szCs w:val="20"/>
                <w:lang w:val="zh-CN" w:eastAsia="zh-CN"/>
              </w:rPr>
              <w:t>10％-65％RH(无结露)</w:t>
            </w: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(17)模组最大功耗</w:t>
            </w:r>
            <w:r>
              <w:rPr>
                <w:rFonts w:hint="eastAsia" w:ascii="宋体" w:hAnsi="宋体" w:cs="宋体"/>
                <w:bCs/>
                <w:sz w:val="20"/>
                <w:szCs w:val="20"/>
                <w:lang w:val="zh-CN" w:eastAsia="zh-CN"/>
              </w:rPr>
              <w:t>≤457W/㎡</w:t>
            </w:r>
            <w:r>
              <w:rPr>
                <w:rFonts w:hint="eastAsia" w:ascii="宋体" w:hAnsi="宋体" w:eastAsia="宋体" w:cs="宋体"/>
                <w:i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r>
              <w:rPr>
                <w:rFonts w:hint="eastAsia" w:ascii="宋体" w:hAnsi="宋体" w:cs="宋体"/>
                <w:bCs/>
                <w:sz w:val="20"/>
                <w:szCs w:val="20"/>
                <w:lang w:val="en-US" w:eastAsia="zh-CN"/>
              </w:rPr>
              <w:t>★</w:t>
            </w:r>
            <w:r>
              <w:rPr>
                <w:rFonts w:hint="eastAsia" w:ascii="宋体" w:hAnsi="宋体" w:eastAsia="宋体" w:cs="宋体"/>
                <w:i w:val="0"/>
                <w:color w:val="000000"/>
                <w:kern w:val="0"/>
                <w:sz w:val="20"/>
                <w:szCs w:val="20"/>
                <w:u w:val="none"/>
                <w:lang w:val="en-US" w:eastAsia="zh-CN" w:bidi="ar"/>
              </w:rPr>
              <w:t xml:space="preserve">提供原厂授权及三年质保承诺函 </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230</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显示屏开关电源</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hint="eastAsia" w:ascii="宋体" w:hAnsi="宋体" w:cs="宋体"/>
                <w:bCs/>
                <w:szCs w:val="21"/>
                <w:lang w:val="en-US" w:eastAsia="zh-CN"/>
              </w:rPr>
            </w:pPr>
            <w:r>
              <w:rPr>
                <w:rFonts w:hint="eastAsia" w:ascii="宋体" w:hAnsi="宋体" w:cs="宋体"/>
                <w:bCs/>
                <w:szCs w:val="21"/>
                <w:lang w:val="en-US" w:eastAsia="zh-CN"/>
              </w:rPr>
              <w:t>创联、联建，上海三思，强力巨彩</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cs="宋体"/>
                <w:bCs/>
                <w:sz w:val="20"/>
                <w:szCs w:val="20"/>
                <w:lang w:val="en-US" w:eastAsia="zh-CN"/>
              </w:rPr>
            </w:pPr>
            <w:r>
              <w:rPr>
                <w:rFonts w:hint="eastAsia" w:ascii="宋体" w:hAnsi="宋体" w:cs="宋体"/>
                <w:bCs/>
                <w:sz w:val="20"/>
                <w:szCs w:val="20"/>
                <w:lang w:val="en-US" w:eastAsia="zh-CN"/>
              </w:rPr>
              <w:t xml:space="preserve">输入： </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电压范围 176～264VAC</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频率范围 47～63HZ</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电流：230VAC 1.8A</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 xml:space="preserve">浪涌电流（Typ） 60A/230VAC </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cs="宋体"/>
                <w:bCs/>
                <w:sz w:val="20"/>
                <w:szCs w:val="20"/>
                <w:lang w:val="en-US" w:eastAsia="zh-CN"/>
              </w:rPr>
            </w:pPr>
            <w:r>
              <w:rPr>
                <w:rFonts w:hint="eastAsia" w:ascii="宋体" w:hAnsi="宋体" w:cs="宋体"/>
                <w:bCs/>
                <w:sz w:val="20"/>
                <w:szCs w:val="20"/>
                <w:lang w:val="en-US" w:eastAsia="zh-CN"/>
              </w:rPr>
              <w:t>输出：</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直流电压 4.5V</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额定电流 40A</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电流范围 0～40A</w:t>
            </w:r>
            <w:r>
              <w:rPr>
                <w:rFonts w:hint="eastAsia" w:ascii="宋体" w:hAnsi="宋体" w:cs="宋体"/>
                <w:bCs/>
                <w:sz w:val="20"/>
                <w:szCs w:val="20"/>
                <w:lang w:val="en-US" w:eastAsia="zh-CN"/>
              </w:rPr>
              <w:br w:type="textWrapping"/>
            </w:r>
            <w:r>
              <w:rPr>
                <w:rFonts w:hint="eastAsia" w:ascii="宋体" w:hAnsi="宋体" w:cs="宋体"/>
                <w:bCs/>
                <w:sz w:val="20"/>
                <w:szCs w:val="20"/>
                <w:lang w:val="en-US" w:eastAsia="zh-CN"/>
              </w:rPr>
              <w:t>额定功率 180W</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同步接收卡</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强力巨彩、上海灵信、西安诺瓦、灵心雨、德普达、</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接收卡：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单卡支持16组和32组数据输出模式；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单卡自带16个HUB75  16P接口；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单卡带载像素128*1024/256*512。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支持逐点亮色度校正、多批次、亮暗线调节和显示屏效果调节等功能，与3D控制器搭配支持3D效果；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支持接收卡预存画面和保留最后一帧设置；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支持灯板flash管理；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支持5pin液晶模块；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支持千兆网，可通过网线直接连接PC端进行调试和显示；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支持接收卡参数及程序包回读；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接收卡具有与灯板一致的电源接口；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★为保证项目证书的权威性和专业性，接收卡需通过CE-EMC和CE-ROHS认证，并提供纸质版复印件加盖厂家公章；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★为保证产品的稳定性，提供具有BACL，CMA，CNAS标识的第三方检测机构出具的检测报告；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★为保证大屏信息传输安全，控制系统获得公安部颁发的信息系统安全等级3级证书；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★为方便显示屏进行统一管理，随时随地查看屏体运行及播放状态，提供厂商获得的集群播控系统管理端软件，集群监控管理端软件、云端LED显示屏信息发布软件的计算机著作权</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65"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框架结构</w:t>
            </w:r>
          </w:p>
        </w:tc>
        <w:tc>
          <w:tcPr>
            <w:tcW w:w="9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定制</w:t>
            </w:r>
          </w:p>
        </w:tc>
        <w:tc>
          <w:tcPr>
            <w:tcW w:w="53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国标40*40mm镀锌方钢，龙骨国标40*20*3方管，含不锈钢包边</w:t>
            </w:r>
          </w:p>
        </w:tc>
        <w:tc>
          <w:tcPr>
            <w:tcW w:w="4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平米</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0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视频控制器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强力巨彩、上海灵信、西安诺瓦、灵心雨、德普达、</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1、HDMI/DVI 视频输入；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2、HDMI 音频输入/外部音频输入；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3、支持高位阶视频输入，12bit/10bit/8bit；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4、普通视频源带载能力：1920×1200，2048×1152，2560×960；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5、高位阶视频源带载能力：1440×900；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6、18bit 灰阶处理与显示；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7、一路光探头接口；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8、可级联多台进行统一控制；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9、支持视频格式：RGB，YCrCb4:2:2，YCrCb4:4:4；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10、标准 1u 机箱设计，独立供电；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★11、提供CE-LVD、CE-EMC或CE-ICE、CE-ROHS、IC或ICES、EAC、FCC认证证书，复印件并加盖厂家公章；</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0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1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多画面拼接处理器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强力巨彩、上海灵信、西安诺瓦、灵心雨、德普达、</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1.输具有完备的入接口，包括 2 路 CVBS，2 路 VGA，1 路 HDMI， 3 路 DVI, 支持一路 DVI Loop;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2.支持 3 路 DVI 输出，其中一路为预览输出，另外两路拼接输出，最大输出分 辨率可达 3840x1200@60Hz；</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3.输入分辨率最大支持 1920×1200@60Hz，且向下兼容；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4.支持最多同时开三个窗口，每个窗口最大分辨率可达 3840x1200，并且支持 一路 OSD，可以选择以图片或文字方式叠加；</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5.窗口的位置、大小等均可调节，可以随心所欲的控制；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6.预监接口支持四宫格预监四路视频；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7.支持 16 个用户场景，可直接调用，方便使用；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8.具备强大的图像处理功能，配合专业 的图像控制软件，具备友好的人机界面;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9.提供多种输入源切换效果，以增强并呈现专业品质的演示画面；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10.一个直观的 LCD 显示界面，清晰的按键灯提示，简化了系统的控制。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★11.为保证硬件与软件系统的切合稳定性，需提供视频处理器嵌入式软件著作权证书复印件并加盖厂家公章；</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★12.提供LED大屏的控制软件和播放软件的计算机著作权证书；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★13.提供对应相关显示屏智能配屏工具软件著作权登记证书；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★14.为保证产品的稳定性，提供具有BACL，CMA，CNAS标识的第三方检测机构出具的检测报告和3C认证证书。</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无线同屏器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1.视频最大支持 4K@60Hz；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2.音频支持模拟音频双声道输出；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★3.内置8Gb eMMc Flash存储；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★4.双WiFi模块，2.4G／5.8G双频，兼容802.11 a/b/g/n/ac，独立AP覆盖，不占用上网通道，开机即可进行投屏并上网；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5.传输距离30m（视距）；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6.设备接口：1*HDMI视频 ;1*3.5音频；1*LAN Ethernet; 2*USB；1*直流供电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7.全面支持Windows、苹果电脑、安卓系统、苹果iOS系统的无线投屏显示设备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8.全面支持AirPlay、Miracast、WiDi 三大无线传输协议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9.支持无线直连、无线桥接外网和有线连接多种网络连接模式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★10.多种投屏方式，用户可扫码投屏或登陆码投屏，也支持内部跨网段投屏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11.支持Windows系统电脑和Mac OS系统电脑上内容的复制、扩展方式无线传输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12.支持iOS系统的手机／平板、Mac OS系统电脑的内容免驱动无线投屏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★13.支持Windows 8/10系统、安卓系统手机／平板上的内容免驱动无线投屏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★14.支持全屏及2/3/4 多路投屏，各种信号源设备可任意组合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★15支持定时自动重启，杜绝长期待机运行不稳定隐患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16.配套1个硬件发射端；</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配件</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定制</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屏体电源线</w:t>
            </w:r>
            <w:r>
              <w:rPr>
                <w:rStyle w:val="8"/>
                <w:rFonts w:eastAsia="宋体"/>
                <w:lang w:val="en-US" w:eastAsia="zh-CN" w:bidi="ar"/>
              </w:rPr>
              <w:t>BV2.5</w:t>
            </w:r>
            <w:r>
              <w:rPr>
                <w:rFonts w:hint="eastAsia" w:ascii="宋体" w:hAnsi="宋体" w:eastAsia="宋体" w:cs="宋体"/>
                <w:i w:val="0"/>
                <w:color w:val="000000"/>
                <w:kern w:val="0"/>
                <w:sz w:val="20"/>
                <w:szCs w:val="20"/>
                <w:u w:val="none"/>
                <w:lang w:val="en-US" w:eastAsia="zh-CN" w:bidi="ar"/>
              </w:rPr>
              <w:t>平方，排线、网线等</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电缆线</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国标</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国标5</w:t>
            </w:r>
            <w:r>
              <w:rPr>
                <w:rStyle w:val="8"/>
                <w:rFonts w:eastAsia="宋体"/>
                <w:lang w:val="en-US" w:eastAsia="zh-CN" w:bidi="ar"/>
              </w:rPr>
              <w:t>*</w:t>
            </w:r>
            <w:r>
              <w:rPr>
                <w:rStyle w:val="8"/>
                <w:rFonts w:hint="eastAsia" w:eastAsia="宋体"/>
                <w:lang w:val="en-US" w:eastAsia="zh-CN" w:bidi="ar"/>
              </w:rPr>
              <w:t>10</w:t>
            </w:r>
            <w:r>
              <w:rPr>
                <w:rFonts w:hint="eastAsia" w:ascii="宋体" w:hAnsi="宋体" w:eastAsia="宋体" w:cs="宋体"/>
                <w:i w:val="0"/>
                <w:color w:val="000000"/>
                <w:kern w:val="0"/>
                <w:sz w:val="20"/>
                <w:szCs w:val="20"/>
                <w:u w:val="none"/>
                <w:lang w:val="en-US" w:eastAsia="zh-CN" w:bidi="ar"/>
              </w:rPr>
              <w:t>平方三项五线电缆，据实结算</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15" w:hRule="atLeast"/>
          <w:jc w:val="center"/>
        </w:trPr>
        <w:tc>
          <w:tcPr>
            <w:tcW w:w="54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w:t>
            </w:r>
          </w:p>
        </w:tc>
        <w:tc>
          <w:tcPr>
            <w:tcW w:w="7468"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安装调试运费（含售后服务、技术支持、操作人员培训，以及LED屏幕两边吸音板恢复）</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平米</w:t>
            </w: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9439"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一：小计</w:t>
            </w:r>
          </w:p>
        </w:tc>
        <w:tc>
          <w:tcPr>
            <w:tcW w:w="72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0" w:type="dxa"/>
            <w:bottom w:w="0" w:type="dxa"/>
            <w:right w:w="0" w:type="dxa"/>
          </w:tblCellMar>
        </w:tblPrEx>
        <w:trPr>
          <w:trHeight w:val="90" w:hRule="atLeast"/>
          <w:jc w:val="center"/>
        </w:trPr>
        <w:tc>
          <w:tcPr>
            <w:tcW w:w="8449"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二、大会议室会议扩音系统改造</w:t>
            </w:r>
          </w:p>
        </w:tc>
        <w:tc>
          <w:tcPr>
            <w:tcW w:w="52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20"/>
                <w:szCs w:val="20"/>
                <w:u w:val="none"/>
              </w:rPr>
            </w:pPr>
          </w:p>
        </w:tc>
        <w:tc>
          <w:tcPr>
            <w:tcW w:w="46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20"/>
                <w:szCs w:val="20"/>
                <w:u w:val="none"/>
              </w:rPr>
            </w:pPr>
          </w:p>
        </w:tc>
        <w:tc>
          <w:tcPr>
            <w:tcW w:w="72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8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无线一拖四鹅颈话筒</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ITC、湖山、迪士普</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8"/>
                <w:szCs w:val="18"/>
                <w:u w:val="none"/>
                <w:lang w:val="en-US" w:eastAsia="zh-CN" w:bidi="ar"/>
              </w:rPr>
              <w:t>1、A、B、C、D通道共提供188个信道选择，方便多只麦克风使用；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2、先进的红外线自动对频技术，发射机自动追锁接收机频率；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3、会议发射器独家开模，外观新颖时尚，不与市面其它品牌雷同；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4、特设话筒高低功率发射转换，输出电平调节功能，兼顾各种环境。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5、频率范围： 740.0-787.0MHz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6、调制方式： 宽带FM          7、可调范围： 50MHz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8、信道数目：  188             9、信道间隔： 250KHz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10、频率稳定度：±0.005%以内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11、动态范围： 100dB           12、最大频偏： ±45KHz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13、音频响应：80Hz-18KHz(±3dB)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14、综合信噪比： &gt;105dB        15、综合失真：≤0.5%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16、工作温度： -10℃-+40℃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★17、设备厂家通过音、视频工程业企业特级资质开标提供证书复印件并加盖鲜章中标公示期原件备查。</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95"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音频线</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300支金银线</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160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5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线管</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Φ20</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95"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音响支架</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加厚型音箱壁架</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30" w:hRule="atLeast"/>
          <w:jc w:val="center"/>
        </w:trPr>
        <w:tc>
          <w:tcPr>
            <w:tcW w:w="54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安装调试</w:t>
            </w:r>
          </w:p>
        </w:tc>
        <w:tc>
          <w:tcPr>
            <w:tcW w:w="9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539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含原音响移位安装</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50" w:hRule="atLeast"/>
          <w:jc w:val="center"/>
        </w:trPr>
        <w:tc>
          <w:tcPr>
            <w:tcW w:w="54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2"/>
                <w:szCs w:val="22"/>
                <w:u w:val="none"/>
              </w:rPr>
            </w:pPr>
          </w:p>
        </w:tc>
        <w:tc>
          <w:tcPr>
            <w:tcW w:w="115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91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5398"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二：小计</w:t>
            </w:r>
          </w:p>
        </w:tc>
        <w:tc>
          <w:tcPr>
            <w:tcW w:w="43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52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72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25" w:hRule="atLeast"/>
          <w:jc w:val="center"/>
        </w:trPr>
        <w:tc>
          <w:tcPr>
            <w:tcW w:w="8014"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三、小会议室会议扩音系统改造</w:t>
            </w:r>
          </w:p>
        </w:tc>
        <w:tc>
          <w:tcPr>
            <w:tcW w:w="43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20"/>
                <w:szCs w:val="20"/>
                <w:u w:val="none"/>
              </w:rPr>
            </w:pPr>
          </w:p>
        </w:tc>
        <w:tc>
          <w:tcPr>
            <w:tcW w:w="52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20"/>
                <w:szCs w:val="20"/>
                <w:u w:val="none"/>
              </w:rPr>
            </w:pPr>
          </w:p>
        </w:tc>
        <w:tc>
          <w:tcPr>
            <w:tcW w:w="46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20"/>
                <w:szCs w:val="20"/>
                <w:u w:val="none"/>
              </w:rPr>
            </w:pPr>
          </w:p>
        </w:tc>
        <w:tc>
          <w:tcPr>
            <w:tcW w:w="72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95"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桥架</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国产</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100*50*1.0mm</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5"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插座</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公牛</w:t>
            </w:r>
          </w:p>
        </w:tc>
        <w:tc>
          <w:tcPr>
            <w:tcW w:w="5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多孔</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1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468"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安装调试运费（含机柜及线缆整理）</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50" w:hRule="atLeast"/>
          <w:jc w:val="center"/>
        </w:trPr>
        <w:tc>
          <w:tcPr>
            <w:tcW w:w="8014"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三：小计</w:t>
            </w:r>
          </w:p>
        </w:tc>
        <w:tc>
          <w:tcPr>
            <w:tcW w:w="43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52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jc w:val="center"/>
        </w:trPr>
        <w:tc>
          <w:tcPr>
            <w:tcW w:w="9439"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总计：一+二+三</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outlineLvl w:val="9"/>
              <w:rPr>
                <w:rFonts w:hint="eastAsia" w:ascii="宋体" w:hAnsi="宋体" w:eastAsia="宋体" w:cs="宋体"/>
                <w:i w:val="0"/>
                <w:color w:val="000000"/>
                <w:sz w:val="22"/>
                <w:szCs w:val="22"/>
                <w:u w:val="none"/>
              </w:rPr>
            </w:pPr>
          </w:p>
        </w:tc>
      </w:tr>
    </w:tbl>
    <w:p>
      <w:pPr>
        <w:pStyle w:val="4"/>
        <w:spacing w:before="50"/>
        <w:ind w:left="131"/>
      </w:pPr>
    </w:p>
    <w:p>
      <w:pPr>
        <w:pStyle w:val="4"/>
        <w:spacing w:before="50"/>
        <w:ind w:left="131"/>
      </w:pPr>
      <w:r>
        <w:t>注：</w:t>
      </w:r>
    </w:p>
    <w:p>
      <w:pPr>
        <w:pStyle w:val="9"/>
        <w:numPr>
          <w:ilvl w:val="0"/>
          <w:numId w:val="1"/>
        </w:numPr>
        <w:tabs>
          <w:tab w:val="left" w:pos="372"/>
        </w:tabs>
        <w:spacing w:before="79" w:after="0" w:line="307" w:lineRule="auto"/>
        <w:ind w:left="131" w:right="-238" w:rightChars="0" w:firstLine="0"/>
        <w:jc w:val="left"/>
        <w:rPr>
          <w:sz w:val="22"/>
        </w:rPr>
      </w:pPr>
      <w:r>
        <w:rPr>
          <w:spacing w:val="-15"/>
          <w:sz w:val="22"/>
        </w:rPr>
        <w:t>标‘▲’产品为本次采购的主要产品，提供厂家针对此项目</w:t>
      </w:r>
      <w:r>
        <w:rPr>
          <w:rFonts w:hint="eastAsia"/>
          <w:spacing w:val="-15"/>
          <w:sz w:val="22"/>
          <w:lang w:val="en-US" w:eastAsia="zh-CN"/>
        </w:rPr>
        <w:t>的</w:t>
      </w:r>
      <w:r>
        <w:rPr>
          <w:spacing w:val="-15"/>
          <w:sz w:val="22"/>
        </w:rPr>
        <w:t>三年售后服务质保承诺函及其他要求提供的证明材料，未提供的按废标处理；</w:t>
      </w:r>
    </w:p>
    <w:p>
      <w:pPr>
        <w:pStyle w:val="9"/>
        <w:numPr>
          <w:ilvl w:val="0"/>
          <w:numId w:val="1"/>
        </w:numPr>
        <w:tabs>
          <w:tab w:val="left" w:pos="372"/>
        </w:tabs>
        <w:spacing w:before="0" w:after="0" w:line="281" w:lineRule="exact"/>
        <w:ind w:left="372" w:right="0" w:hanging="241"/>
        <w:jc w:val="left"/>
        <w:rPr>
          <w:sz w:val="22"/>
        </w:rPr>
      </w:pPr>
      <w:r>
        <w:rPr>
          <w:spacing w:val="-7"/>
          <w:sz w:val="22"/>
        </w:rPr>
        <w:t>标“★”参数需按要求提供证明材料；</w:t>
      </w:r>
    </w:p>
    <w:p>
      <w:pPr>
        <w:pStyle w:val="9"/>
        <w:widowControl w:val="0"/>
        <w:numPr>
          <w:ilvl w:val="0"/>
          <w:numId w:val="0"/>
        </w:numPr>
        <w:tabs>
          <w:tab w:val="left" w:pos="372"/>
        </w:tabs>
        <w:spacing w:before="0" w:after="0" w:line="281" w:lineRule="exact"/>
        <w:ind w:right="0" w:rightChars="0"/>
        <w:jc w:val="left"/>
        <w:rPr>
          <w:spacing w:val="-7"/>
          <w:sz w:val="22"/>
        </w:rPr>
      </w:pPr>
    </w:p>
    <w:p>
      <w:pPr>
        <w:pStyle w:val="3"/>
        <w:keepNext w:val="0"/>
        <w:keepLines w:val="0"/>
        <w:pageBreakBefore w:val="0"/>
        <w:widowControl w:val="0"/>
        <w:kinsoku/>
        <w:wordWrap/>
        <w:overflowPunct/>
        <w:topLinePunct w:val="0"/>
        <w:autoSpaceDE/>
        <w:autoSpaceDN/>
        <w:bidi w:val="0"/>
        <w:adjustRightInd/>
        <w:snapToGrid/>
        <w:spacing w:before="73" w:line="400" w:lineRule="exact"/>
        <w:ind w:left="0" w:leftChars="0" w:firstLine="0" w:firstLineChars="0"/>
        <w:textAlignment w:val="auto"/>
        <w:rPr>
          <w:rFonts w:hint="eastAsia"/>
        </w:rPr>
      </w:pPr>
    </w:p>
    <w:sectPr>
      <w:pgSz w:w="11910" w:h="16850"/>
      <w:pgMar w:top="1298" w:right="1134" w:bottom="1134" w:left="1134" w:header="876" w:footer="1576" w:gutter="0"/>
      <w:cols w:equalWidth="0" w:num="1">
        <w:col w:w="11130"/>
      </w:cols>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multilevel"/>
    <w:tmpl w:val="B0F1ACD9"/>
    <w:lvl w:ilvl="0" w:tentative="0">
      <w:start w:val="1"/>
      <w:numFmt w:val="decimal"/>
      <w:lvlText w:val="%1."/>
      <w:lvlJc w:val="left"/>
      <w:pPr>
        <w:ind w:left="131" w:hanging="241"/>
        <w:jc w:val="left"/>
      </w:pPr>
      <w:rPr>
        <w:rFonts w:hint="default" w:ascii="宋体" w:hAnsi="宋体" w:eastAsia="宋体" w:cs="宋体"/>
        <w:spacing w:val="7"/>
        <w:w w:val="102"/>
        <w:sz w:val="20"/>
        <w:szCs w:val="20"/>
        <w:lang w:val="zh-CN" w:eastAsia="zh-CN" w:bidi="zh-CN"/>
      </w:rPr>
    </w:lvl>
    <w:lvl w:ilvl="1" w:tentative="0">
      <w:start w:val="0"/>
      <w:numFmt w:val="bullet"/>
      <w:lvlText w:val="•"/>
      <w:lvlJc w:val="left"/>
      <w:pPr>
        <w:ind w:left="1167" w:hanging="241"/>
      </w:pPr>
      <w:rPr>
        <w:rFonts w:hint="default"/>
        <w:lang w:val="zh-CN" w:eastAsia="zh-CN" w:bidi="zh-CN"/>
      </w:rPr>
    </w:lvl>
    <w:lvl w:ilvl="2" w:tentative="0">
      <w:start w:val="0"/>
      <w:numFmt w:val="bullet"/>
      <w:lvlText w:val="•"/>
      <w:lvlJc w:val="left"/>
      <w:pPr>
        <w:ind w:left="2194" w:hanging="241"/>
      </w:pPr>
      <w:rPr>
        <w:rFonts w:hint="default"/>
        <w:lang w:val="zh-CN" w:eastAsia="zh-CN" w:bidi="zh-CN"/>
      </w:rPr>
    </w:lvl>
    <w:lvl w:ilvl="3" w:tentative="0">
      <w:start w:val="0"/>
      <w:numFmt w:val="bullet"/>
      <w:lvlText w:val="•"/>
      <w:lvlJc w:val="left"/>
      <w:pPr>
        <w:ind w:left="3221" w:hanging="241"/>
      </w:pPr>
      <w:rPr>
        <w:rFonts w:hint="default"/>
        <w:lang w:val="zh-CN" w:eastAsia="zh-CN" w:bidi="zh-CN"/>
      </w:rPr>
    </w:lvl>
    <w:lvl w:ilvl="4" w:tentative="0">
      <w:start w:val="0"/>
      <w:numFmt w:val="bullet"/>
      <w:lvlText w:val="•"/>
      <w:lvlJc w:val="left"/>
      <w:pPr>
        <w:ind w:left="4248" w:hanging="241"/>
      </w:pPr>
      <w:rPr>
        <w:rFonts w:hint="default"/>
        <w:lang w:val="zh-CN" w:eastAsia="zh-CN" w:bidi="zh-CN"/>
      </w:rPr>
    </w:lvl>
    <w:lvl w:ilvl="5" w:tentative="0">
      <w:start w:val="0"/>
      <w:numFmt w:val="bullet"/>
      <w:lvlText w:val="•"/>
      <w:lvlJc w:val="left"/>
      <w:pPr>
        <w:ind w:left="5275" w:hanging="241"/>
      </w:pPr>
      <w:rPr>
        <w:rFonts w:hint="default"/>
        <w:lang w:val="zh-CN" w:eastAsia="zh-CN" w:bidi="zh-CN"/>
      </w:rPr>
    </w:lvl>
    <w:lvl w:ilvl="6" w:tentative="0">
      <w:start w:val="0"/>
      <w:numFmt w:val="bullet"/>
      <w:lvlText w:val="•"/>
      <w:lvlJc w:val="left"/>
      <w:pPr>
        <w:ind w:left="6302" w:hanging="241"/>
      </w:pPr>
      <w:rPr>
        <w:rFonts w:hint="default"/>
        <w:lang w:val="zh-CN" w:eastAsia="zh-CN" w:bidi="zh-CN"/>
      </w:rPr>
    </w:lvl>
    <w:lvl w:ilvl="7" w:tentative="0">
      <w:start w:val="0"/>
      <w:numFmt w:val="bullet"/>
      <w:lvlText w:val="•"/>
      <w:lvlJc w:val="left"/>
      <w:pPr>
        <w:ind w:left="7329" w:hanging="241"/>
      </w:pPr>
      <w:rPr>
        <w:rFonts w:hint="default"/>
        <w:lang w:val="zh-CN" w:eastAsia="zh-CN" w:bidi="zh-CN"/>
      </w:rPr>
    </w:lvl>
    <w:lvl w:ilvl="8" w:tentative="0">
      <w:start w:val="0"/>
      <w:numFmt w:val="bullet"/>
      <w:lvlText w:val="•"/>
      <w:lvlJc w:val="left"/>
      <w:pPr>
        <w:ind w:left="8356"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E1892"/>
    <w:rsid w:val="03AA1453"/>
    <w:rsid w:val="06BC113D"/>
    <w:rsid w:val="11052E1D"/>
    <w:rsid w:val="17024348"/>
    <w:rsid w:val="195A6D12"/>
    <w:rsid w:val="1C466BB3"/>
    <w:rsid w:val="24577F2F"/>
    <w:rsid w:val="24DE45E0"/>
    <w:rsid w:val="26D852F3"/>
    <w:rsid w:val="27013583"/>
    <w:rsid w:val="278E35FD"/>
    <w:rsid w:val="2B081663"/>
    <w:rsid w:val="2ED30745"/>
    <w:rsid w:val="2F90234B"/>
    <w:rsid w:val="329D1BD3"/>
    <w:rsid w:val="36CD68E0"/>
    <w:rsid w:val="40F57235"/>
    <w:rsid w:val="42492B30"/>
    <w:rsid w:val="471C316A"/>
    <w:rsid w:val="49D5088E"/>
    <w:rsid w:val="4AD73D6D"/>
    <w:rsid w:val="4ECA223F"/>
    <w:rsid w:val="503B36C9"/>
    <w:rsid w:val="52BA408E"/>
    <w:rsid w:val="55141A87"/>
    <w:rsid w:val="5A0C0588"/>
    <w:rsid w:val="5C103992"/>
    <w:rsid w:val="5DD24DF4"/>
    <w:rsid w:val="5E87294C"/>
    <w:rsid w:val="65107D0C"/>
    <w:rsid w:val="69E83A71"/>
    <w:rsid w:val="6A1E1892"/>
    <w:rsid w:val="6E83727F"/>
    <w:rsid w:val="735A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62"/>
      <w:outlineLvl w:val="1"/>
    </w:pPr>
    <w:rPr>
      <w:rFonts w:ascii="宋体" w:hAnsi="宋体" w:eastAsia="宋体" w:cs="宋体"/>
      <w:b/>
      <w:bCs/>
      <w:sz w:val="31"/>
      <w:szCs w:val="31"/>
      <w:lang w:val="zh-CN" w:eastAsia="zh-CN" w:bidi="zh-CN"/>
    </w:rPr>
  </w:style>
  <w:style w:type="paragraph" w:styleId="3">
    <w:name w:val="heading 4"/>
    <w:basedOn w:val="1"/>
    <w:next w:val="1"/>
    <w:qFormat/>
    <w:uiPriority w:val="1"/>
    <w:pPr>
      <w:ind w:left="822"/>
      <w:outlineLvl w:val="4"/>
    </w:pPr>
    <w:rPr>
      <w:rFonts w:ascii="宋体" w:hAnsi="宋体" w:eastAsia="宋体" w:cs="宋体"/>
      <w:b/>
      <w:bCs/>
      <w:sz w:val="22"/>
      <w:szCs w:val="2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2"/>
      <w:szCs w:val="22"/>
      <w:lang w:val="zh-CN" w:eastAsia="zh-CN" w:bidi="zh-C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font41"/>
    <w:basedOn w:val="7"/>
    <w:qFormat/>
    <w:uiPriority w:val="0"/>
    <w:rPr>
      <w:rFonts w:ascii="Calibri" w:hAnsi="Calibri" w:cs="Calibri"/>
      <w:color w:val="000000"/>
      <w:sz w:val="20"/>
      <w:szCs w:val="20"/>
      <w:u w:val="none"/>
    </w:rPr>
  </w:style>
  <w:style w:type="paragraph" w:styleId="9">
    <w:name w:val="List Paragraph"/>
    <w:basedOn w:val="1"/>
    <w:qFormat/>
    <w:uiPriority w:val="1"/>
    <w:pPr>
      <w:ind w:left="103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ompany>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2019-09-16T01:59:00Z</dcterms:created>
  <dc:creator>Grandy</dc:creator>
  <cp:lastModifiedBy>Administrator</cp:lastModifiedBy>
  <dcterms:modified xsi:type="dcterms:W3CDTF">2019-10-09T01:13:42Z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